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88A6" w14:textId="77777777" w:rsidR="00475D1F" w:rsidRDefault="00475D1F" w:rsidP="00684CEB">
      <w:pPr>
        <w:spacing w:after="0" w:line="240" w:lineRule="auto"/>
      </w:pPr>
    </w:p>
    <w:p w14:paraId="4BDC4B21" w14:textId="77777777" w:rsidR="00475D1F" w:rsidRDefault="00475D1F" w:rsidP="001C234F">
      <w:pPr>
        <w:tabs>
          <w:tab w:val="left" w:pos="1470"/>
        </w:tabs>
        <w:spacing w:after="0" w:line="240" w:lineRule="auto"/>
      </w:pPr>
      <w:r>
        <w:tab/>
      </w:r>
    </w:p>
    <w:p w14:paraId="5D3B1085" w14:textId="77777777" w:rsidR="00475D1F" w:rsidRDefault="00475D1F" w:rsidP="001C234F">
      <w:pPr>
        <w:tabs>
          <w:tab w:val="left" w:pos="990"/>
        </w:tabs>
        <w:spacing w:after="0" w:line="240" w:lineRule="auto"/>
      </w:pPr>
      <w:r>
        <w:tab/>
      </w:r>
    </w:p>
    <w:p w14:paraId="3DF5AEDC" w14:textId="77777777" w:rsidR="00475D1F" w:rsidRDefault="00475D1F" w:rsidP="00684CEB">
      <w:pPr>
        <w:spacing w:after="0" w:line="240" w:lineRule="auto"/>
      </w:pPr>
    </w:p>
    <w:p w14:paraId="15420105" w14:textId="77777777" w:rsidR="00475D1F" w:rsidRDefault="00475D1F" w:rsidP="00684CEB">
      <w:pPr>
        <w:spacing w:after="0" w:line="240" w:lineRule="auto"/>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5328"/>
      </w:tblGrid>
      <w:tr w:rsidR="00475D1F" w14:paraId="42406442" w14:textId="77777777" w:rsidTr="006B1AF9">
        <w:tc>
          <w:tcPr>
            <w:tcW w:w="4620" w:type="dxa"/>
            <w:tcBorders>
              <w:top w:val="nil"/>
              <w:left w:val="nil"/>
              <w:bottom w:val="nil"/>
              <w:right w:val="nil"/>
            </w:tcBorders>
          </w:tcPr>
          <w:p w14:paraId="202DE127" w14:textId="77777777" w:rsidR="00475D1F" w:rsidRPr="006B1AF9" w:rsidRDefault="00475D1F" w:rsidP="006B1AF9">
            <w:pPr>
              <w:spacing w:after="0" w:line="240" w:lineRule="auto"/>
              <w:rPr>
                <w:sz w:val="20"/>
                <w:szCs w:val="40"/>
              </w:rPr>
            </w:pPr>
          </w:p>
          <w:p w14:paraId="1B2361D2" w14:textId="77777777" w:rsidR="00475D1F" w:rsidRPr="006B1AF9" w:rsidRDefault="00475D1F" w:rsidP="006B1AF9">
            <w:pPr>
              <w:autoSpaceDE w:val="0"/>
              <w:autoSpaceDN w:val="0"/>
              <w:adjustRightInd w:val="0"/>
              <w:spacing w:after="0" w:line="240" w:lineRule="auto"/>
              <w:rPr>
                <w:rFonts w:cs="Arial"/>
                <w:color w:val="000000"/>
                <w:sz w:val="24"/>
                <w:szCs w:val="24"/>
                <w:lang w:eastAsia="en-GB"/>
              </w:rPr>
            </w:pPr>
          </w:p>
        </w:tc>
        <w:tc>
          <w:tcPr>
            <w:tcW w:w="5328" w:type="dxa"/>
            <w:tcBorders>
              <w:top w:val="nil"/>
              <w:left w:val="nil"/>
              <w:bottom w:val="nil"/>
              <w:right w:val="nil"/>
            </w:tcBorders>
          </w:tcPr>
          <w:p w14:paraId="376C8829" w14:textId="77777777" w:rsidR="00475D1F" w:rsidRPr="006B1AF9" w:rsidRDefault="00475D1F" w:rsidP="006B1AF9">
            <w:pPr>
              <w:autoSpaceDE w:val="0"/>
              <w:autoSpaceDN w:val="0"/>
              <w:adjustRightInd w:val="0"/>
              <w:spacing w:after="0" w:line="240" w:lineRule="auto"/>
              <w:jc w:val="right"/>
              <w:rPr>
                <w:rFonts w:cs="Arial"/>
                <w:color w:val="000000"/>
                <w:szCs w:val="16"/>
                <w:lang w:eastAsia="en-GB"/>
              </w:rPr>
            </w:pPr>
            <w:r w:rsidRPr="006B1AF9">
              <w:rPr>
                <w:rFonts w:cs="Arial"/>
                <w:color w:val="000000"/>
                <w:szCs w:val="16"/>
                <w:lang w:eastAsia="en-GB"/>
              </w:rPr>
              <w:t xml:space="preserve">102 Petty </w:t>
            </w:r>
            <w:smartTag w:uri="urn:schemas-microsoft-com:office:smarttags" w:element="country-region">
              <w:smartTag w:uri="urn:schemas-microsoft-com:office:smarttags" w:element="place">
                <w:r w:rsidRPr="006B1AF9">
                  <w:rPr>
                    <w:rFonts w:cs="Arial"/>
                    <w:color w:val="000000"/>
                    <w:szCs w:val="16"/>
                    <w:lang w:eastAsia="en-GB"/>
                  </w:rPr>
                  <w:t>France</w:t>
                </w:r>
              </w:smartTag>
            </w:smartTag>
          </w:p>
          <w:p w14:paraId="59B062B0" w14:textId="77777777" w:rsidR="00475D1F" w:rsidRPr="006B1AF9" w:rsidRDefault="00475D1F" w:rsidP="006B1AF9">
            <w:pPr>
              <w:autoSpaceDE w:val="0"/>
              <w:autoSpaceDN w:val="0"/>
              <w:adjustRightInd w:val="0"/>
              <w:spacing w:after="0" w:line="240" w:lineRule="auto"/>
              <w:ind w:left="2880"/>
              <w:jc w:val="right"/>
              <w:rPr>
                <w:rFonts w:cs="Arial"/>
                <w:color w:val="000000"/>
                <w:szCs w:val="16"/>
                <w:lang w:eastAsia="en-GB"/>
              </w:rPr>
            </w:pPr>
            <w:smartTag w:uri="urn:schemas-microsoft-com:office:smarttags" w:element="City">
              <w:smartTag w:uri="urn:schemas-microsoft-com:office:smarttags" w:element="place">
                <w:r w:rsidRPr="006B1AF9">
                  <w:rPr>
                    <w:rFonts w:cs="Arial"/>
                    <w:color w:val="000000"/>
                    <w:szCs w:val="16"/>
                    <w:lang w:eastAsia="en-GB"/>
                  </w:rPr>
                  <w:t>London</w:t>
                </w:r>
              </w:smartTag>
            </w:smartTag>
          </w:p>
          <w:p w14:paraId="5EC6D2F3" w14:textId="77777777" w:rsidR="00475D1F" w:rsidRPr="006B1AF9" w:rsidRDefault="00475D1F" w:rsidP="006B1AF9">
            <w:pPr>
              <w:autoSpaceDE w:val="0"/>
              <w:autoSpaceDN w:val="0"/>
              <w:adjustRightInd w:val="0"/>
              <w:spacing w:after="0" w:line="240" w:lineRule="auto"/>
              <w:ind w:left="2880"/>
              <w:jc w:val="right"/>
              <w:rPr>
                <w:rFonts w:cs="Arial"/>
                <w:color w:val="000000"/>
                <w:szCs w:val="16"/>
                <w:lang w:eastAsia="en-GB"/>
              </w:rPr>
            </w:pPr>
            <w:r w:rsidRPr="006B1AF9">
              <w:rPr>
                <w:rFonts w:cs="Arial"/>
                <w:color w:val="000000"/>
                <w:szCs w:val="16"/>
                <w:lang w:eastAsia="en-GB"/>
              </w:rPr>
              <w:t>SW1H 9AJ</w:t>
            </w:r>
          </w:p>
          <w:p w14:paraId="0C97AC64" w14:textId="77777777" w:rsidR="00475D1F" w:rsidRPr="006B1AF9" w:rsidRDefault="00475D1F" w:rsidP="006B1AF9">
            <w:pPr>
              <w:autoSpaceDE w:val="0"/>
              <w:autoSpaceDN w:val="0"/>
              <w:adjustRightInd w:val="0"/>
              <w:spacing w:after="0" w:line="240" w:lineRule="auto"/>
              <w:ind w:left="2880"/>
              <w:jc w:val="right"/>
              <w:rPr>
                <w:rFonts w:cs="Arial"/>
                <w:color w:val="000000"/>
                <w:szCs w:val="16"/>
                <w:lang w:eastAsia="en-GB"/>
              </w:rPr>
            </w:pPr>
          </w:p>
          <w:p w14:paraId="31BD3253" w14:textId="77777777" w:rsidR="00475D1F" w:rsidRPr="006B1AF9" w:rsidRDefault="00475D1F" w:rsidP="006B1AF9">
            <w:pPr>
              <w:autoSpaceDE w:val="0"/>
              <w:autoSpaceDN w:val="0"/>
              <w:adjustRightInd w:val="0"/>
              <w:spacing w:after="0" w:line="240" w:lineRule="auto"/>
              <w:jc w:val="right"/>
              <w:rPr>
                <w:rFonts w:cs="Arial"/>
                <w:color w:val="000000"/>
                <w:szCs w:val="24"/>
                <w:lang w:eastAsia="en-GB"/>
              </w:rPr>
            </w:pPr>
            <w:r w:rsidRPr="006B1AF9">
              <w:rPr>
                <w:rFonts w:cs="Arial"/>
                <w:b/>
                <w:bCs/>
                <w:color w:val="000000"/>
                <w:szCs w:val="16"/>
                <w:lang w:eastAsia="en-GB"/>
              </w:rPr>
              <w:t xml:space="preserve">E-Mail: </w:t>
            </w:r>
            <w:hyperlink r:id="rId7" w:history="1">
              <w:r w:rsidRPr="006B1AF9">
                <w:rPr>
                  <w:rStyle w:val="Hyperlink"/>
                  <w:rFonts w:cs="Arial"/>
                  <w:szCs w:val="16"/>
                  <w:lang w:eastAsia="en-GB"/>
                </w:rPr>
                <w:t>jcs@hmcts.gsi.gov.uk</w:t>
              </w:r>
            </w:hyperlink>
            <w:r w:rsidRPr="006B1AF9">
              <w:rPr>
                <w:rFonts w:cs="Arial"/>
                <w:color w:val="000000"/>
                <w:szCs w:val="16"/>
                <w:lang w:eastAsia="en-GB"/>
              </w:rPr>
              <w:t xml:space="preserve"> </w:t>
            </w:r>
          </w:p>
        </w:tc>
      </w:tr>
    </w:tbl>
    <w:p w14:paraId="3B53041B" w14:textId="77777777" w:rsidR="00475D1F" w:rsidRDefault="00475D1F" w:rsidP="00684CEB">
      <w:pPr>
        <w:autoSpaceDE w:val="0"/>
        <w:autoSpaceDN w:val="0"/>
        <w:adjustRightInd w:val="0"/>
        <w:spacing w:after="0" w:line="240" w:lineRule="auto"/>
        <w:rPr>
          <w:rFonts w:cs="Arial"/>
          <w:color w:val="000000"/>
          <w:sz w:val="40"/>
          <w:szCs w:val="24"/>
          <w:lang w:eastAsia="en-GB"/>
        </w:rPr>
      </w:pPr>
      <w:r w:rsidRPr="0079063F">
        <w:rPr>
          <w:rFonts w:cs="Arial"/>
          <w:color w:val="000000"/>
          <w:sz w:val="40"/>
          <w:szCs w:val="24"/>
          <w:lang w:eastAsia="en-GB"/>
        </w:rPr>
        <w:t>News Sheet</w:t>
      </w:r>
    </w:p>
    <w:p w14:paraId="7AD14843" w14:textId="77777777" w:rsidR="00475D1F" w:rsidRPr="0079063F" w:rsidRDefault="0027148C" w:rsidP="00684CEB">
      <w:pPr>
        <w:autoSpaceDE w:val="0"/>
        <w:autoSpaceDN w:val="0"/>
        <w:adjustRightInd w:val="0"/>
        <w:spacing w:after="0" w:line="240" w:lineRule="auto"/>
        <w:rPr>
          <w:rFonts w:cs="Arial"/>
          <w:color w:val="000000"/>
          <w:sz w:val="40"/>
          <w:szCs w:val="24"/>
          <w:lang w:eastAsia="en-GB"/>
        </w:rPr>
      </w:pPr>
      <w:r>
        <w:rPr>
          <w:rFonts w:cs="Arial"/>
          <w:color w:val="000000"/>
          <w:sz w:val="40"/>
          <w:szCs w:val="24"/>
          <w:lang w:eastAsia="en-GB"/>
        </w:rPr>
        <w:t>No:  12</w:t>
      </w:r>
      <w:r w:rsidR="00475D1F">
        <w:rPr>
          <w:rFonts w:cs="Arial"/>
          <w:color w:val="000000"/>
          <w:sz w:val="40"/>
          <w:szCs w:val="24"/>
          <w:lang w:eastAsia="en-GB"/>
        </w:rPr>
        <w:t>/2017</w:t>
      </w:r>
    </w:p>
    <w:p w14:paraId="49CE24FB" w14:textId="77777777" w:rsidR="00475D1F" w:rsidRDefault="00475D1F" w:rsidP="002E6E4B">
      <w:pPr>
        <w:tabs>
          <w:tab w:val="right" w:pos="7200"/>
        </w:tabs>
        <w:spacing w:after="0" w:line="240" w:lineRule="auto"/>
        <w:rPr>
          <w:rFonts w:cs="Arial"/>
        </w:rPr>
      </w:pPr>
    </w:p>
    <w:p w14:paraId="046D87BB" w14:textId="77777777" w:rsidR="00475D1F" w:rsidRDefault="00475D1F" w:rsidP="002E6E4B">
      <w:pPr>
        <w:tabs>
          <w:tab w:val="right" w:pos="7200"/>
        </w:tabs>
        <w:spacing w:after="0" w:line="240" w:lineRule="auto"/>
        <w:rPr>
          <w:rFonts w:cs="Arial"/>
        </w:rPr>
      </w:pPr>
    </w:p>
    <w:p w14:paraId="78FCBC8A" w14:textId="77777777" w:rsidR="00475D1F" w:rsidRPr="002E6E4B" w:rsidRDefault="00475D1F" w:rsidP="002E6E4B">
      <w:pPr>
        <w:tabs>
          <w:tab w:val="right" w:pos="7200"/>
        </w:tabs>
        <w:spacing w:after="0" w:line="240" w:lineRule="auto"/>
        <w:rPr>
          <w:rFonts w:cs="Arial"/>
        </w:rPr>
      </w:pPr>
      <w:r>
        <w:rPr>
          <w:rFonts w:cs="Arial"/>
        </w:rPr>
        <w:fldChar w:fldCharType="begin"/>
      </w:r>
      <w:r>
        <w:rPr>
          <w:rFonts w:cs="Arial"/>
        </w:rPr>
        <w:instrText xml:space="preserve"> DATE  \@ "dd MMMM yyyy"  \* MERGEFORMAT </w:instrText>
      </w:r>
      <w:r>
        <w:rPr>
          <w:rFonts w:cs="Arial"/>
        </w:rPr>
        <w:fldChar w:fldCharType="separate"/>
      </w:r>
      <w:r w:rsidR="0027148C">
        <w:rPr>
          <w:rFonts w:cs="Arial"/>
          <w:noProof/>
        </w:rPr>
        <w:t>08 August 2017</w:t>
      </w:r>
      <w:r>
        <w:rPr>
          <w:rFonts w:cs="Arial"/>
        </w:rPr>
        <w:fldChar w:fldCharType="end"/>
      </w:r>
      <w:r>
        <w:rPr>
          <w:rFonts w:cs="Arial"/>
        </w:rPr>
        <w:tab/>
      </w:r>
    </w:p>
    <w:p w14:paraId="12D9EF66" w14:textId="77777777" w:rsidR="00475D1F" w:rsidRDefault="00475D1F" w:rsidP="00684CEB">
      <w:pPr>
        <w:spacing w:after="0" w:line="240" w:lineRule="auto"/>
      </w:pPr>
    </w:p>
    <w:p w14:paraId="4DC1D9DF" w14:textId="77777777" w:rsidR="00475D1F" w:rsidRPr="0079063F" w:rsidRDefault="00475D1F" w:rsidP="00684CEB">
      <w:pPr>
        <w:spacing w:after="0" w:line="240" w:lineRule="auto"/>
        <w:rPr>
          <w:b/>
        </w:rPr>
      </w:pPr>
      <w:r>
        <w:rPr>
          <w:b/>
        </w:rPr>
        <w:t>CIRCULATED DIRECTLY TO ALL MEMBERS OF THE JUSTICES’ CLERKS’ SOCIETY</w:t>
      </w:r>
    </w:p>
    <w:p w14:paraId="20D0143C" w14:textId="77777777" w:rsidR="00475D1F" w:rsidRDefault="00475D1F" w:rsidP="00684CEB">
      <w:pPr>
        <w:spacing w:after="0" w:line="240" w:lineRule="auto"/>
      </w:pPr>
    </w:p>
    <w:p w14:paraId="69A4FB90" w14:textId="77777777" w:rsidR="00475D1F" w:rsidRDefault="00475D1F" w:rsidP="00684CEB">
      <w:pPr>
        <w:spacing w:after="0" w:line="240" w:lineRule="auto"/>
      </w:pPr>
    </w:p>
    <w:p w14:paraId="7953C53C" w14:textId="77777777" w:rsidR="00475D1F" w:rsidRDefault="00475D1F" w:rsidP="00684CEB">
      <w:pPr>
        <w:spacing w:after="0" w:line="240" w:lineRule="auto"/>
      </w:pPr>
      <w:r>
        <w:t>Dear Colleague,</w:t>
      </w:r>
    </w:p>
    <w:p w14:paraId="1DC28DA7" w14:textId="77777777" w:rsidR="00475D1F" w:rsidRDefault="00475D1F" w:rsidP="00684CEB">
      <w:pPr>
        <w:spacing w:after="0" w:line="240" w:lineRule="auto"/>
      </w:pPr>
    </w:p>
    <w:p w14:paraId="4BC10713" w14:textId="77777777" w:rsidR="00475D1F" w:rsidRDefault="00475D1F" w:rsidP="00684CEB">
      <w:pPr>
        <w:spacing w:after="0" w:line="240" w:lineRule="auto"/>
      </w:pPr>
    </w:p>
    <w:p w14:paraId="473941B6" w14:textId="77777777" w:rsidR="00475D1F" w:rsidRPr="0079063F" w:rsidRDefault="00475D1F" w:rsidP="00545B5B">
      <w:pPr>
        <w:spacing w:after="240" w:line="240" w:lineRule="auto"/>
        <w:jc w:val="both"/>
        <w:rPr>
          <w:rFonts w:cs="Arial"/>
          <w:b/>
          <w:sz w:val="24"/>
          <w:szCs w:val="24"/>
        </w:rPr>
      </w:pPr>
      <w:r w:rsidRPr="0079063F">
        <w:rPr>
          <w:rFonts w:cs="Arial"/>
          <w:b/>
          <w:sz w:val="24"/>
          <w:szCs w:val="24"/>
        </w:rPr>
        <w:t xml:space="preserve">TIME LIMITS FOR INSTITUTING PROCEEDINGS </w:t>
      </w:r>
      <w:r>
        <w:rPr>
          <w:rFonts w:cs="Arial"/>
          <w:b/>
          <w:sz w:val="24"/>
          <w:szCs w:val="24"/>
        </w:rPr>
        <w:t xml:space="preserve">COMMENCED BY </w:t>
      </w:r>
      <w:r w:rsidRPr="0079063F">
        <w:rPr>
          <w:rFonts w:cs="Arial"/>
          <w:b/>
          <w:sz w:val="24"/>
          <w:szCs w:val="24"/>
        </w:rPr>
        <w:t xml:space="preserve">WRITTEN CHARGE </w:t>
      </w:r>
      <w:r>
        <w:rPr>
          <w:rFonts w:cs="Arial"/>
          <w:b/>
          <w:sz w:val="24"/>
          <w:szCs w:val="24"/>
        </w:rPr>
        <w:t>(REQUISITIONS A</w:t>
      </w:r>
      <w:bookmarkStart w:id="0" w:name="_GoBack"/>
      <w:bookmarkEnd w:id="0"/>
      <w:r>
        <w:rPr>
          <w:rFonts w:cs="Arial"/>
          <w:b/>
          <w:sz w:val="24"/>
          <w:szCs w:val="24"/>
        </w:rPr>
        <w:t xml:space="preserve">ND </w:t>
      </w:r>
      <w:r w:rsidRPr="0079063F">
        <w:rPr>
          <w:rFonts w:cs="Arial"/>
          <w:b/>
          <w:sz w:val="24"/>
          <w:szCs w:val="24"/>
        </w:rPr>
        <w:t>SINGLE JUSTICE PROCEDURE NOTICES</w:t>
      </w:r>
      <w:r>
        <w:rPr>
          <w:rFonts w:cs="Arial"/>
          <w:b/>
          <w:sz w:val="24"/>
          <w:szCs w:val="24"/>
        </w:rPr>
        <w:t>)</w:t>
      </w:r>
    </w:p>
    <w:p w14:paraId="7A9ACCD6" w14:textId="77777777" w:rsidR="00475D1F" w:rsidRDefault="00475D1F" w:rsidP="00B1670F">
      <w:pPr>
        <w:jc w:val="both"/>
        <w:rPr>
          <w:rFonts w:cs="Arial"/>
        </w:rPr>
      </w:pPr>
      <w:r>
        <w:rPr>
          <w:rFonts w:cs="Arial"/>
        </w:rPr>
        <w:t>It has been brought to the Society’s attention that many police forces are commencing proceedings very close to the six month time limit and on occasion serving the written charge and single justice procedure notice on the defendant (and the court) more than six months after the date of the alleged offence.  This has raised questions about whether the prosecution have instituted proceedings within the statutory time limit.  It has further been argued that d</w:t>
      </w:r>
      <w:r w:rsidRPr="0009115D">
        <w:rPr>
          <w:rFonts w:cs="Arial"/>
        </w:rPr>
        <w:t>eferral of posting of the SJP notice fall</w:t>
      </w:r>
      <w:r>
        <w:rPr>
          <w:rFonts w:cs="Arial"/>
        </w:rPr>
        <w:t>s foul</w:t>
      </w:r>
      <w:r w:rsidRPr="0009115D">
        <w:rPr>
          <w:rFonts w:cs="Arial"/>
        </w:rPr>
        <w:t xml:space="preserve"> of s</w:t>
      </w:r>
      <w:r>
        <w:rPr>
          <w:rFonts w:cs="Arial"/>
        </w:rPr>
        <w:t>.</w:t>
      </w:r>
      <w:r w:rsidRPr="0009115D">
        <w:rPr>
          <w:rFonts w:cs="Arial"/>
        </w:rPr>
        <w:t xml:space="preserve">29(2) Criminal Justice Act 2003 since it was not </w:t>
      </w:r>
      <w:smartTag w:uri="urn:schemas-microsoft-com:office:smarttags" w:element="PersonName">
        <w:r w:rsidRPr="0009115D">
          <w:rPr>
            <w:rFonts w:cs="Arial"/>
          </w:rPr>
          <w:t>'</w:t>
        </w:r>
      </w:smartTag>
      <w:r w:rsidRPr="0009115D">
        <w:rPr>
          <w:rFonts w:cs="Arial"/>
        </w:rPr>
        <w:t>issued at the same time</w:t>
      </w:r>
      <w:r>
        <w:rPr>
          <w:rFonts w:cs="Arial"/>
        </w:rPr>
        <w:t>’; the question then arises as to the consequences of that</w:t>
      </w:r>
      <w:r w:rsidRPr="0009115D">
        <w:rPr>
          <w:rFonts w:cs="Arial"/>
        </w:rPr>
        <w:t>.</w:t>
      </w:r>
    </w:p>
    <w:p w14:paraId="1FB13943" w14:textId="77777777" w:rsidR="00475D1F" w:rsidRDefault="00475D1F" w:rsidP="00B1670F">
      <w:pPr>
        <w:jc w:val="both"/>
        <w:rPr>
          <w:rFonts w:cs="Arial"/>
        </w:rPr>
      </w:pPr>
    </w:p>
    <w:p w14:paraId="6CEE7B35" w14:textId="77777777" w:rsidR="00475D1F" w:rsidRDefault="00475D1F" w:rsidP="00B1670F">
      <w:pPr>
        <w:shd w:val="clear" w:color="auto" w:fill="FFFFFF"/>
        <w:jc w:val="both"/>
        <w:rPr>
          <w:rFonts w:cs="Arial"/>
          <w:szCs w:val="24"/>
          <w:lang w:eastAsia="en-GB"/>
        </w:rPr>
      </w:pPr>
      <w:r w:rsidRPr="0079063F">
        <w:rPr>
          <w:rFonts w:cs="Arial"/>
          <w:szCs w:val="24"/>
          <w:lang w:eastAsia="en-GB"/>
        </w:rPr>
        <w:t>Yours sincerely</w:t>
      </w:r>
    </w:p>
    <w:p w14:paraId="13F97F1E" w14:textId="77777777" w:rsidR="00475D1F" w:rsidRDefault="00475D1F" w:rsidP="00B1670F">
      <w:pPr>
        <w:shd w:val="clear" w:color="auto" w:fill="FFFFFF"/>
        <w:jc w:val="both"/>
        <w:rPr>
          <w:rFonts w:cs="Arial"/>
          <w:szCs w:val="24"/>
          <w:lang w:eastAsia="en-GB"/>
        </w:rPr>
      </w:pPr>
    </w:p>
    <w:p w14:paraId="658E53E0" w14:textId="77777777" w:rsidR="00475D1F" w:rsidRDefault="00475D1F" w:rsidP="00B1670F">
      <w:pPr>
        <w:shd w:val="clear" w:color="auto" w:fill="FFFFFF"/>
        <w:jc w:val="both"/>
        <w:rPr>
          <w:rFonts w:cs="Arial"/>
          <w:szCs w:val="24"/>
          <w:lang w:eastAsia="en-GB"/>
        </w:rPr>
      </w:pPr>
    </w:p>
    <w:p w14:paraId="20349823" w14:textId="77777777" w:rsidR="00475D1F" w:rsidRDefault="00475D1F" w:rsidP="00B1670F">
      <w:pPr>
        <w:shd w:val="clear" w:color="auto" w:fill="FFFFFF"/>
        <w:jc w:val="both"/>
        <w:rPr>
          <w:rFonts w:cs="Arial"/>
          <w:szCs w:val="24"/>
          <w:lang w:eastAsia="en-GB"/>
        </w:rPr>
      </w:pPr>
      <w:r w:rsidRPr="0079063F">
        <w:rPr>
          <w:rFonts w:cs="Arial"/>
          <w:szCs w:val="24"/>
          <w:lang w:eastAsia="en-GB"/>
        </w:rPr>
        <w:t>Justices’ Clerks’ Society</w:t>
      </w:r>
    </w:p>
    <w:p w14:paraId="1CBD2F70" w14:textId="77777777" w:rsidR="00475D1F" w:rsidRDefault="00475D1F" w:rsidP="00545B5B">
      <w:pPr>
        <w:jc w:val="both"/>
        <w:rPr>
          <w:rFonts w:cs="Arial"/>
          <w:b/>
          <w:sz w:val="24"/>
          <w:szCs w:val="24"/>
        </w:rPr>
      </w:pPr>
    </w:p>
    <w:p w14:paraId="20D1A26C" w14:textId="77777777" w:rsidR="00475D1F" w:rsidRDefault="00475D1F" w:rsidP="00B1670F">
      <w:pPr>
        <w:spacing w:after="0" w:line="240" w:lineRule="auto"/>
        <w:jc w:val="both"/>
        <w:rPr>
          <w:rFonts w:cs="Arial"/>
          <w:b/>
          <w:sz w:val="24"/>
          <w:szCs w:val="24"/>
          <w:u w:val="single"/>
        </w:rPr>
      </w:pPr>
      <w:r>
        <w:rPr>
          <w:rFonts w:cs="Arial"/>
          <w:b/>
          <w:sz w:val="24"/>
          <w:szCs w:val="24"/>
          <w:u w:val="single"/>
        </w:rPr>
        <w:br w:type="page"/>
      </w:r>
    </w:p>
    <w:p w14:paraId="2550CEB2" w14:textId="77777777" w:rsidR="00475D1F" w:rsidRPr="00E31566" w:rsidRDefault="00475D1F" w:rsidP="00545B5B">
      <w:pPr>
        <w:jc w:val="both"/>
        <w:rPr>
          <w:rFonts w:cs="Arial"/>
          <w:b/>
          <w:sz w:val="24"/>
          <w:szCs w:val="24"/>
        </w:rPr>
      </w:pPr>
      <w:r>
        <w:rPr>
          <w:rFonts w:cs="Arial"/>
          <w:b/>
          <w:sz w:val="24"/>
          <w:szCs w:val="24"/>
        </w:rPr>
        <w:lastRenderedPageBreak/>
        <w:t>Introduction:  written charge procedure</w:t>
      </w:r>
    </w:p>
    <w:p w14:paraId="281644C1" w14:textId="77777777" w:rsidR="00475D1F" w:rsidRDefault="00475D1F" w:rsidP="00B1670F">
      <w:pPr>
        <w:jc w:val="both"/>
      </w:pPr>
      <w:r>
        <w:rPr>
          <w:rFonts w:cs="Arial"/>
        </w:rPr>
        <w:t>Both Single Justice Procedure (SJP) notices and requisitions are initiated by a prosecutor issuing a “written charge”</w:t>
      </w:r>
      <w:r>
        <w:rPr>
          <w:rStyle w:val="FootnoteReference"/>
          <w:rFonts w:cs="Arial"/>
        </w:rPr>
        <w:footnoteReference w:id="1"/>
      </w:r>
      <w:r>
        <w:rPr>
          <w:rFonts w:cs="Arial"/>
        </w:rPr>
        <w:t xml:space="preserve">. Where </w:t>
      </w:r>
      <w:r>
        <w:t>a prosecutor issues a written charge, it must at the same time issue a requisition, or a SJP notice</w:t>
      </w:r>
      <w:r>
        <w:rPr>
          <w:rStyle w:val="FootnoteReference"/>
        </w:rPr>
        <w:footnoteReference w:id="2"/>
      </w:r>
      <w:r>
        <w:t xml:space="preserve">.  The key difference from the information and summons procedure is that a summons is issued by the </w:t>
      </w:r>
      <w:r w:rsidRPr="0002429F">
        <w:rPr>
          <w:i/>
        </w:rPr>
        <w:t>court</w:t>
      </w:r>
      <w:r>
        <w:t xml:space="preserve"> on the application of the prosecutor, while requisitions and SJP notices are issued by the </w:t>
      </w:r>
      <w:r w:rsidRPr="0002429F">
        <w:rPr>
          <w:i/>
        </w:rPr>
        <w:t>prosecutor</w:t>
      </w:r>
      <w:r>
        <w:t xml:space="preserve"> with the court having no role in their issue.  This distinction means that the consequences of service on the court are also different.  With a summons, service on the court initiates the process</w:t>
      </w:r>
      <w:r>
        <w:rPr>
          <w:rStyle w:val="FootnoteReference"/>
        </w:rPr>
        <w:footnoteReference w:id="3"/>
      </w:r>
      <w:r>
        <w:t>.  However with a requisition or SJP notice, service on the court only follows issue and does not initiate the process</w:t>
      </w:r>
      <w:r>
        <w:rPr>
          <w:rStyle w:val="FootnoteReference"/>
        </w:rPr>
        <w:footnoteReference w:id="4"/>
      </w:r>
      <w:r>
        <w:t xml:space="preserve">.  </w:t>
      </w:r>
    </w:p>
    <w:p w14:paraId="79585B87" w14:textId="77777777" w:rsidR="00475D1F" w:rsidRPr="0009115D" w:rsidRDefault="00475D1F" w:rsidP="00545B5B">
      <w:pPr>
        <w:jc w:val="both"/>
        <w:rPr>
          <w:rFonts w:cs="Arial"/>
        </w:rPr>
      </w:pPr>
      <w:r>
        <w:rPr>
          <w:rFonts w:cs="Arial"/>
        </w:rPr>
        <w:t xml:space="preserve">This paper aims to answer certain questions that have arisen over the written charge procedure, specifically:  </w:t>
      </w:r>
    </w:p>
    <w:p w14:paraId="4DBC4BD1" w14:textId="77777777" w:rsidR="00475D1F" w:rsidRDefault="00475D1F" w:rsidP="00B1670F">
      <w:pPr>
        <w:pStyle w:val="ListParagraph"/>
        <w:numPr>
          <w:ilvl w:val="0"/>
          <w:numId w:val="43"/>
        </w:numPr>
        <w:spacing w:after="120" w:line="360" w:lineRule="auto"/>
        <w:jc w:val="both"/>
        <w:rPr>
          <w:rFonts w:ascii="Arial" w:hAnsi="Arial"/>
        </w:rPr>
      </w:pPr>
      <w:r w:rsidRPr="0065735A">
        <w:rPr>
          <w:rFonts w:ascii="Arial" w:hAnsi="Arial"/>
        </w:rPr>
        <w:t xml:space="preserve">At what point is the written charge issued for the purposes of time limits for prosecution?  </w:t>
      </w:r>
    </w:p>
    <w:p w14:paraId="4BB581D8" w14:textId="77777777" w:rsidR="00475D1F" w:rsidRDefault="00475D1F" w:rsidP="00B1670F">
      <w:pPr>
        <w:pStyle w:val="ListParagraph"/>
        <w:numPr>
          <w:ilvl w:val="0"/>
          <w:numId w:val="43"/>
        </w:numPr>
        <w:spacing w:after="120" w:line="360" w:lineRule="auto"/>
        <w:jc w:val="both"/>
        <w:rPr>
          <w:rFonts w:ascii="Arial" w:hAnsi="Arial"/>
        </w:rPr>
      </w:pPr>
      <w:r w:rsidRPr="0065735A">
        <w:rPr>
          <w:rFonts w:ascii="Arial" w:hAnsi="Arial"/>
        </w:rPr>
        <w:t>Is issue of the charge only complete when it has been notified to the court?</w:t>
      </w:r>
    </w:p>
    <w:p w14:paraId="0D430B0C" w14:textId="77777777" w:rsidR="00475D1F" w:rsidRDefault="00475D1F" w:rsidP="00B1670F">
      <w:pPr>
        <w:pStyle w:val="ListParagraph"/>
        <w:numPr>
          <w:ilvl w:val="0"/>
          <w:numId w:val="43"/>
        </w:numPr>
        <w:spacing w:after="120" w:line="360" w:lineRule="auto"/>
        <w:jc w:val="both"/>
        <w:rPr>
          <w:rFonts w:ascii="Arial" w:hAnsi="Arial"/>
        </w:rPr>
      </w:pPr>
      <w:r>
        <w:rPr>
          <w:rFonts w:ascii="Arial" w:hAnsi="Arial"/>
        </w:rPr>
        <w:t xml:space="preserve">What are the consequences if a prosecutor sends a </w:t>
      </w:r>
      <w:r w:rsidRPr="0065735A">
        <w:rPr>
          <w:rFonts w:ascii="Arial" w:hAnsi="Arial"/>
        </w:rPr>
        <w:t xml:space="preserve">SJP notice </w:t>
      </w:r>
      <w:r>
        <w:rPr>
          <w:rFonts w:ascii="Arial" w:hAnsi="Arial"/>
        </w:rPr>
        <w:t xml:space="preserve">to the defendant (or court) </w:t>
      </w:r>
      <w:r w:rsidRPr="0065735A">
        <w:rPr>
          <w:rFonts w:ascii="Arial" w:hAnsi="Arial"/>
        </w:rPr>
        <w:t>at a later date from that on which the</w:t>
      </w:r>
      <w:r>
        <w:rPr>
          <w:rFonts w:ascii="Arial" w:hAnsi="Arial"/>
        </w:rPr>
        <w:t xml:space="preserve">y issued the </w:t>
      </w:r>
      <w:r w:rsidRPr="0065735A">
        <w:rPr>
          <w:rFonts w:ascii="Arial" w:hAnsi="Arial"/>
        </w:rPr>
        <w:t>written charge</w:t>
      </w:r>
    </w:p>
    <w:p w14:paraId="600B7B16" w14:textId="77777777" w:rsidR="00475D1F" w:rsidRDefault="00475D1F" w:rsidP="00B1670F">
      <w:pPr>
        <w:jc w:val="both"/>
        <w:rPr>
          <w:rFonts w:cs="Arial"/>
          <w:sz w:val="24"/>
          <w:szCs w:val="24"/>
        </w:rPr>
      </w:pPr>
    </w:p>
    <w:p w14:paraId="337DEFE2" w14:textId="77777777" w:rsidR="00475D1F" w:rsidRDefault="00475D1F" w:rsidP="00B1670F">
      <w:pPr>
        <w:pStyle w:val="ListParagraph"/>
        <w:spacing w:after="120" w:line="360" w:lineRule="auto"/>
        <w:ind w:left="0"/>
        <w:jc w:val="both"/>
        <w:rPr>
          <w:rFonts w:ascii="Arial" w:hAnsi="Arial" w:cs="Arial"/>
          <w:b/>
          <w:sz w:val="24"/>
          <w:szCs w:val="24"/>
        </w:rPr>
      </w:pPr>
      <w:r w:rsidRPr="0065735A">
        <w:rPr>
          <w:rFonts w:ascii="Arial" w:hAnsi="Arial" w:cs="Arial"/>
          <w:b/>
          <w:sz w:val="24"/>
          <w:szCs w:val="24"/>
        </w:rPr>
        <w:t xml:space="preserve">At what point is the written charge issued for the purposes of time limits for prosecution?  </w:t>
      </w:r>
    </w:p>
    <w:p w14:paraId="0168725E" w14:textId="77777777" w:rsidR="00475D1F" w:rsidRDefault="00475D1F" w:rsidP="00B1670F">
      <w:pPr>
        <w:jc w:val="both"/>
        <w:rPr>
          <w:lang w:eastAsia="en-GB"/>
        </w:rPr>
      </w:pPr>
      <w:r>
        <w:rPr>
          <w:lang w:eastAsia="en-GB"/>
        </w:rPr>
        <w:t>The Society’s view is that a written charge is issued when the prosecutor determines to issue it and time runs from that point.  It does not run from the date when the charge and SJP notice are served on the court (or defendant).</w:t>
      </w:r>
    </w:p>
    <w:p w14:paraId="1EF83BA5" w14:textId="77777777" w:rsidR="00475D1F" w:rsidRDefault="00475D1F" w:rsidP="00B1670F">
      <w:pPr>
        <w:jc w:val="both"/>
        <w:rPr>
          <w:lang w:eastAsia="en-GB"/>
        </w:rPr>
      </w:pPr>
      <w:r>
        <w:rPr>
          <w:lang w:eastAsia="en-GB"/>
        </w:rPr>
        <w:t>Section 127(1) of the Magistrates’ Courts Act 1980 (MCA) provides, in relation to summary only offences, that:</w:t>
      </w:r>
    </w:p>
    <w:p w14:paraId="3414E4F6" w14:textId="77777777" w:rsidR="00475D1F" w:rsidRDefault="00475D1F" w:rsidP="00B1670F">
      <w:pPr>
        <w:ind w:left="720"/>
        <w:jc w:val="both"/>
        <w:rPr>
          <w:lang w:eastAsia="en-GB"/>
        </w:rPr>
      </w:pPr>
      <w:r>
        <w:rPr>
          <w:lang w:eastAsia="en-GB"/>
        </w:rPr>
        <w:t xml:space="preserve">…  </w:t>
      </w:r>
      <w:r w:rsidRPr="0065735A">
        <w:rPr>
          <w:lang w:eastAsia="en-GB"/>
        </w:rPr>
        <w:t>a magistrates</w:t>
      </w:r>
      <w:smartTag w:uri="urn:schemas-microsoft-com:office:smarttags" w:element="PersonName">
        <w:r w:rsidRPr="0065735A">
          <w:rPr>
            <w:lang w:eastAsia="en-GB"/>
          </w:rPr>
          <w:t>'</w:t>
        </w:r>
      </w:smartTag>
      <w:r w:rsidRPr="0065735A">
        <w:rPr>
          <w:lang w:eastAsia="en-GB"/>
        </w:rPr>
        <w:t xml:space="preserve"> court shall not try an information or hear a complaint unless the information was laid, or the complaint made, within 6 months from the time when the offence was committed, or the matter of complaint arose.</w:t>
      </w:r>
    </w:p>
    <w:p w14:paraId="20A0834E" w14:textId="77777777" w:rsidR="00475D1F" w:rsidRDefault="00475D1F" w:rsidP="00B1670F">
      <w:pPr>
        <w:jc w:val="both"/>
        <w:rPr>
          <w:rFonts w:cs="Arial"/>
          <w:szCs w:val="24"/>
        </w:rPr>
      </w:pPr>
      <w:r w:rsidRPr="004E7A0D">
        <w:rPr>
          <w:rFonts w:cs="Arial"/>
          <w:szCs w:val="24"/>
        </w:rPr>
        <w:lastRenderedPageBreak/>
        <w:t>In general, references in any Act passed before the 2003 Act to informations include a reference to a written charge</w:t>
      </w:r>
      <w:r w:rsidRPr="004E7A0D">
        <w:rPr>
          <w:rStyle w:val="FootnoteReference"/>
          <w:rFonts w:cs="Arial"/>
          <w:szCs w:val="24"/>
        </w:rPr>
        <w:footnoteReference w:id="5"/>
      </w:r>
      <w:r w:rsidRPr="004E7A0D">
        <w:rPr>
          <w:rFonts w:cs="Arial"/>
          <w:szCs w:val="24"/>
        </w:rPr>
        <w:t xml:space="preserve">,  save where the context otherwise requires.  A degree of interpretation is required to apply the reference to s. 127 to written charges since, as is expressly stated in S. 29, the process is not commenced by “laying” the charge before the court, but by the action of the prosecutor in issuing the charge.  Bearing that in mind, in the Society’s view, it is plain that the relevant date for the purposes of s. 127 must be the date that the prosecutor issues the charge, rather than the date of a process </w:t>
      </w:r>
      <w:r>
        <w:rPr>
          <w:rFonts w:cs="Arial"/>
          <w:szCs w:val="24"/>
        </w:rPr>
        <w:t xml:space="preserve">(laying) </w:t>
      </w:r>
      <w:r w:rsidRPr="004E7A0D">
        <w:rPr>
          <w:rFonts w:cs="Arial"/>
          <w:szCs w:val="24"/>
        </w:rPr>
        <w:t xml:space="preserve">which is, in relation to charges, non-existent.  </w:t>
      </w:r>
    </w:p>
    <w:p w14:paraId="48D9FF92" w14:textId="77777777" w:rsidR="00475D1F" w:rsidRDefault="00475D1F" w:rsidP="00B1670F">
      <w:pPr>
        <w:jc w:val="both"/>
        <w:rPr>
          <w:rFonts w:cs="Arial"/>
          <w:szCs w:val="24"/>
        </w:rPr>
      </w:pPr>
      <w:r>
        <w:rPr>
          <w:rFonts w:cs="Arial"/>
          <w:szCs w:val="24"/>
        </w:rPr>
        <w:t xml:space="preserve">This view is supported by s. 15 of the Prosecution of Offences Act 1985, which defines “instituted” for the purposes of Part 1 of that Act as being  </w:t>
      </w:r>
    </w:p>
    <w:p w14:paraId="6E2E5705" w14:textId="77777777" w:rsidR="00475D1F" w:rsidRDefault="00475D1F" w:rsidP="00B1670F">
      <w:pPr>
        <w:ind w:left="720"/>
        <w:jc w:val="both"/>
        <w:rPr>
          <w:rFonts w:ascii="Times New Roman" w:hAnsi="Times New Roman"/>
          <w:sz w:val="24"/>
          <w:szCs w:val="24"/>
          <w:lang w:eastAsia="en-GB"/>
        </w:rPr>
      </w:pPr>
      <w:r>
        <w:t xml:space="preserve">(ba) … when the written charge and requisition are issued; </w:t>
      </w:r>
    </w:p>
    <w:p w14:paraId="02CD4E36" w14:textId="77777777" w:rsidR="00475D1F" w:rsidRDefault="00475D1F" w:rsidP="00B1670F">
      <w:pPr>
        <w:ind w:left="720"/>
        <w:jc w:val="both"/>
      </w:pPr>
      <w:r>
        <w:t>(bb) … when the written charge and single justice procedure notice are issued;</w:t>
      </w:r>
    </w:p>
    <w:p w14:paraId="193E169B" w14:textId="77777777" w:rsidR="00475D1F" w:rsidRDefault="00475D1F" w:rsidP="00B1670F">
      <w:pPr>
        <w:jc w:val="both"/>
        <w:rPr>
          <w:rFonts w:cs="Arial"/>
          <w:szCs w:val="24"/>
        </w:rPr>
      </w:pPr>
      <w:r w:rsidRPr="004E7A0D">
        <w:rPr>
          <w:rFonts w:cs="Arial"/>
          <w:szCs w:val="24"/>
        </w:rPr>
        <w:t>The Society is aware that it has been argued before some courts that the relevant date is the date that the SJP notice is served on the defendant.  However that is plainly incorrect – “issue” and “serve” are clean different things, and the requirement to serve the notice is expressly a separate process in s. 29.</w:t>
      </w:r>
    </w:p>
    <w:p w14:paraId="7DF5F97F" w14:textId="77777777" w:rsidR="00475D1F" w:rsidRDefault="00475D1F" w:rsidP="00B1670F">
      <w:pPr>
        <w:jc w:val="both"/>
        <w:rPr>
          <w:rFonts w:cs="Arial"/>
          <w:szCs w:val="24"/>
        </w:rPr>
      </w:pPr>
      <w:r>
        <w:rPr>
          <w:rFonts w:cs="Arial"/>
          <w:szCs w:val="24"/>
        </w:rPr>
        <w:t xml:space="preserve">Particularly if service occurs much later than the date on which the prosecution assert the charge was issued, there are likely to be factual challenges alleging that the charge is out of time.  In our view </w:t>
      </w:r>
      <w:r w:rsidRPr="004E7A0D">
        <w:rPr>
          <w:rFonts w:cs="Arial"/>
          <w:szCs w:val="24"/>
        </w:rPr>
        <w:t xml:space="preserve">it will be for the prosecution to prove that the written charge was issued </w:t>
      </w:r>
      <w:r>
        <w:rPr>
          <w:rFonts w:cs="Arial"/>
          <w:szCs w:val="24"/>
        </w:rPr>
        <w:t xml:space="preserve">in </w:t>
      </w:r>
      <w:r w:rsidRPr="004E7A0D">
        <w:rPr>
          <w:rFonts w:cs="Arial"/>
          <w:szCs w:val="24"/>
        </w:rPr>
        <w:t xml:space="preserve">time.  The prosecution is likely to refer to the date on which the written charge and </w:t>
      </w:r>
      <w:r>
        <w:rPr>
          <w:rFonts w:cs="Arial"/>
          <w:szCs w:val="24"/>
        </w:rPr>
        <w:t>SJP notice were printed.</w:t>
      </w:r>
    </w:p>
    <w:p w14:paraId="60716F07" w14:textId="77777777" w:rsidR="00475D1F" w:rsidRDefault="00475D1F" w:rsidP="00B1670F">
      <w:pPr>
        <w:jc w:val="both"/>
        <w:rPr>
          <w:rFonts w:cs="Arial"/>
          <w:szCs w:val="24"/>
        </w:rPr>
      </w:pPr>
      <w:r>
        <w:rPr>
          <w:rFonts w:cs="Arial"/>
          <w:szCs w:val="24"/>
        </w:rPr>
        <w:t xml:space="preserve">This means that while service on the court does not effect issue, it will be useful evidence of the date a written charge was issued.  In </w:t>
      </w:r>
      <w:r w:rsidRPr="00517E6A">
        <w:rPr>
          <w:rFonts w:cs="Arial"/>
          <w:i/>
          <w:szCs w:val="24"/>
        </w:rPr>
        <w:t>Atkinson v DPP</w:t>
      </w:r>
      <w:r>
        <w:rPr>
          <w:rStyle w:val="FootnoteReference"/>
          <w:rFonts w:cs="Arial"/>
          <w:i/>
          <w:szCs w:val="24"/>
        </w:rPr>
        <w:footnoteReference w:id="6"/>
      </w:r>
      <w:r>
        <w:rPr>
          <w:rFonts w:cs="Arial"/>
          <w:szCs w:val="24"/>
        </w:rPr>
        <w:t xml:space="preserve">, </w:t>
      </w:r>
      <w:r w:rsidRPr="004E7A0D">
        <w:rPr>
          <w:rFonts w:cs="Arial"/>
          <w:szCs w:val="24"/>
        </w:rPr>
        <w:t xml:space="preserve">which concerned the laying of </w:t>
      </w:r>
      <w:r>
        <w:rPr>
          <w:rFonts w:cs="Arial"/>
          <w:szCs w:val="24"/>
        </w:rPr>
        <w:t xml:space="preserve">an </w:t>
      </w:r>
      <w:r w:rsidRPr="004E7A0D">
        <w:rPr>
          <w:rFonts w:cs="Arial"/>
          <w:szCs w:val="24"/>
        </w:rPr>
        <w:t>information</w:t>
      </w:r>
      <w:r>
        <w:rPr>
          <w:rFonts w:cs="Arial"/>
          <w:szCs w:val="24"/>
        </w:rPr>
        <w:t xml:space="preserve"> via the </w:t>
      </w:r>
      <w:r w:rsidRPr="004E7A0D">
        <w:rPr>
          <w:rFonts w:cs="Arial"/>
          <w:szCs w:val="24"/>
        </w:rPr>
        <w:t xml:space="preserve">court computer, </w:t>
      </w:r>
      <w:r>
        <w:rPr>
          <w:rFonts w:cs="Arial"/>
          <w:szCs w:val="24"/>
        </w:rPr>
        <w:t xml:space="preserve">the Administrative Court </w:t>
      </w:r>
      <w:r w:rsidRPr="004E7A0D">
        <w:rPr>
          <w:rFonts w:cs="Arial"/>
          <w:szCs w:val="24"/>
        </w:rPr>
        <w:t xml:space="preserve">held that </w:t>
      </w:r>
      <w:r>
        <w:rPr>
          <w:rFonts w:cs="Arial"/>
          <w:szCs w:val="24"/>
        </w:rPr>
        <w:t xml:space="preserve">in relation to informations laid by computer, the relevant date was the </w:t>
      </w:r>
      <w:r w:rsidRPr="004E7A0D">
        <w:rPr>
          <w:rFonts w:cs="Arial"/>
          <w:szCs w:val="24"/>
        </w:rPr>
        <w:t xml:space="preserve">date on which the </w:t>
      </w:r>
      <w:r>
        <w:rPr>
          <w:rFonts w:cs="Arial"/>
          <w:szCs w:val="24"/>
        </w:rPr>
        <w:t xml:space="preserve">information </w:t>
      </w:r>
      <w:r w:rsidRPr="004E7A0D">
        <w:rPr>
          <w:rFonts w:cs="Arial"/>
          <w:szCs w:val="24"/>
        </w:rPr>
        <w:t xml:space="preserve">was ‘validated’ </w:t>
      </w:r>
      <w:r>
        <w:rPr>
          <w:rFonts w:cs="Arial"/>
          <w:szCs w:val="24"/>
        </w:rPr>
        <w:t xml:space="preserve">by the court computer </w:t>
      </w:r>
      <w:r w:rsidRPr="004E7A0D">
        <w:rPr>
          <w:rFonts w:cs="Arial"/>
          <w:szCs w:val="24"/>
        </w:rPr>
        <w:t xml:space="preserve">and unable to be altered.   </w:t>
      </w:r>
      <w:r>
        <w:rPr>
          <w:rFonts w:cs="Arial"/>
          <w:szCs w:val="24"/>
        </w:rPr>
        <w:t>While not binding in relation to written charges, the case is persuasive.  T</w:t>
      </w:r>
      <w:r w:rsidRPr="004E7A0D">
        <w:rPr>
          <w:rFonts w:cs="Arial"/>
          <w:szCs w:val="24"/>
        </w:rPr>
        <w:t xml:space="preserve">he ability to prove a point at which the written charge is fixed and is incapable of alteration may be important evidence should the court be required to determine the point of issue. </w:t>
      </w:r>
    </w:p>
    <w:p w14:paraId="7ABD3CFA" w14:textId="77777777" w:rsidR="00475D1F" w:rsidRDefault="00475D1F" w:rsidP="00B1670F">
      <w:pPr>
        <w:spacing w:after="0" w:line="240" w:lineRule="auto"/>
        <w:jc w:val="both"/>
        <w:rPr>
          <w:b/>
          <w:sz w:val="24"/>
        </w:rPr>
      </w:pPr>
      <w:r>
        <w:rPr>
          <w:b/>
          <w:sz w:val="24"/>
        </w:rPr>
        <w:br w:type="page"/>
      </w:r>
    </w:p>
    <w:p w14:paraId="48D93011" w14:textId="77777777" w:rsidR="00475D1F" w:rsidRDefault="00475D1F" w:rsidP="00B1670F">
      <w:pPr>
        <w:jc w:val="both"/>
        <w:rPr>
          <w:b/>
          <w:sz w:val="24"/>
        </w:rPr>
      </w:pPr>
      <w:r w:rsidRPr="00517E6A">
        <w:rPr>
          <w:b/>
          <w:sz w:val="24"/>
        </w:rPr>
        <w:lastRenderedPageBreak/>
        <w:t>Is issue of the charge only complete when it has been notified to the court?</w:t>
      </w:r>
    </w:p>
    <w:p w14:paraId="4F15CFB8" w14:textId="77777777" w:rsidR="00475D1F" w:rsidRDefault="00475D1F" w:rsidP="00B1670F">
      <w:pPr>
        <w:jc w:val="both"/>
      </w:pPr>
      <w:r w:rsidRPr="00517E6A">
        <w:rPr>
          <w:rFonts w:cs="Arial"/>
          <w:szCs w:val="24"/>
        </w:rPr>
        <w:t>It follows from the above th</w:t>
      </w:r>
      <w:r>
        <w:rPr>
          <w:rFonts w:cs="Arial"/>
          <w:szCs w:val="24"/>
        </w:rPr>
        <w:t>a</w:t>
      </w:r>
      <w:r w:rsidRPr="00517E6A">
        <w:rPr>
          <w:rFonts w:cs="Arial"/>
          <w:szCs w:val="24"/>
        </w:rPr>
        <w:t xml:space="preserve">t </w:t>
      </w:r>
      <w:r>
        <w:rPr>
          <w:rFonts w:cs="Arial"/>
          <w:szCs w:val="24"/>
        </w:rPr>
        <w:t>the written charge is issued when the prosecutor issues it under s. 29(1).  “Issue” is not defined in the Act, and thus bears its dictionary meaning of “</w:t>
      </w:r>
      <w:r>
        <w:t>To send forth, give out</w:t>
      </w:r>
      <w:r>
        <w:rPr>
          <w:rStyle w:val="FootnoteReference"/>
        </w:rPr>
        <w:footnoteReference w:id="7"/>
      </w:r>
      <w:r>
        <w:t xml:space="preserve">”.  </w:t>
      </w:r>
      <w:r>
        <w:rPr>
          <w:rFonts w:cs="Arial"/>
          <w:szCs w:val="24"/>
        </w:rPr>
        <w:t xml:space="preserve">Service on the court is a separate process under s. 29(3) and the Criminal Procedure Rules observe the same distinction.  </w:t>
      </w:r>
    </w:p>
    <w:p w14:paraId="12CEB3FE" w14:textId="77777777" w:rsidR="00475D1F" w:rsidRDefault="00475D1F" w:rsidP="00B1670F">
      <w:pPr>
        <w:jc w:val="both"/>
        <w:rPr>
          <w:rFonts w:cs="Arial"/>
          <w:szCs w:val="24"/>
        </w:rPr>
      </w:pPr>
      <w:r>
        <w:t>Receipt by the court, therefore, as noted above, is relevant only as evidence of the date of issue.</w:t>
      </w:r>
    </w:p>
    <w:p w14:paraId="1EDBCB33" w14:textId="77777777" w:rsidR="00475D1F" w:rsidRDefault="00475D1F" w:rsidP="00B1670F">
      <w:pPr>
        <w:pStyle w:val="ListParagraph"/>
        <w:spacing w:after="120" w:line="360" w:lineRule="auto"/>
        <w:ind w:left="0"/>
        <w:jc w:val="both"/>
        <w:rPr>
          <w:rFonts w:ascii="Arial" w:hAnsi="Arial"/>
          <w:b/>
          <w:sz w:val="24"/>
        </w:rPr>
      </w:pPr>
      <w:r w:rsidRPr="0036062E">
        <w:rPr>
          <w:rFonts w:ascii="Arial" w:hAnsi="Arial"/>
          <w:b/>
          <w:sz w:val="24"/>
        </w:rPr>
        <w:t>What are the consequences if a prosecutor sends a SJP notice to the defendant (or court) at a later date from that on which they issued the written charge</w:t>
      </w:r>
      <w:r>
        <w:rPr>
          <w:rFonts w:ascii="Arial" w:hAnsi="Arial"/>
          <w:b/>
          <w:sz w:val="24"/>
        </w:rPr>
        <w:t>?</w:t>
      </w:r>
    </w:p>
    <w:p w14:paraId="710F38A5" w14:textId="77777777" w:rsidR="00475D1F" w:rsidRDefault="00475D1F" w:rsidP="00B1670F">
      <w:pPr>
        <w:jc w:val="both"/>
        <w:rPr>
          <w:rFonts w:cs="Arial"/>
          <w:sz w:val="24"/>
          <w:szCs w:val="24"/>
        </w:rPr>
      </w:pPr>
      <w:r>
        <w:rPr>
          <w:rFonts w:cs="Arial"/>
          <w:sz w:val="24"/>
          <w:szCs w:val="24"/>
        </w:rPr>
        <w:t>The view of the Society is that delay in service of the written charge and SJP notice has no impact on the formal validity of the process, although it may open the way to allegations that the date of issue was falsified, or to an abuse of process argument.</w:t>
      </w:r>
    </w:p>
    <w:p w14:paraId="6FFCF8F7" w14:textId="77777777" w:rsidR="00475D1F" w:rsidRDefault="00475D1F" w:rsidP="00B1670F">
      <w:pPr>
        <w:jc w:val="both"/>
        <w:rPr>
          <w:rFonts w:cs="Arial"/>
          <w:szCs w:val="24"/>
        </w:rPr>
      </w:pPr>
      <w:r>
        <w:rPr>
          <w:rFonts w:cs="Arial"/>
          <w:szCs w:val="24"/>
        </w:rPr>
        <w:t>It follows from the above discussion, that</w:t>
      </w:r>
      <w:r w:rsidRPr="006A03EF">
        <w:rPr>
          <w:rFonts w:cs="Arial"/>
          <w:szCs w:val="24"/>
        </w:rPr>
        <w:t xml:space="preserve"> issue of the written charge, issue of the SJP notice, and the posting (service) of the two are all different things.  However s. 29(2) states that </w:t>
      </w:r>
      <w:r>
        <w:rPr>
          <w:rFonts w:cs="Arial"/>
          <w:szCs w:val="24"/>
        </w:rPr>
        <w:t>the prosecutor must issue the SJP notice “</w:t>
      </w:r>
      <w:r w:rsidRPr="006A03EF">
        <w:t>at the same time</w:t>
      </w:r>
      <w:r>
        <w:t>” as issuing the written charge.  The Criminal Procedure Rules repeats this.</w:t>
      </w:r>
    </w:p>
    <w:p w14:paraId="56E812A4" w14:textId="77777777" w:rsidR="00475D1F" w:rsidRDefault="00475D1F" w:rsidP="00B1670F">
      <w:pPr>
        <w:jc w:val="both"/>
        <w:rPr>
          <w:rFonts w:cs="Arial"/>
          <w:szCs w:val="24"/>
        </w:rPr>
      </w:pPr>
      <w:r>
        <w:rPr>
          <w:rFonts w:cs="Arial"/>
          <w:szCs w:val="24"/>
        </w:rPr>
        <w:t xml:space="preserve">It has therefore been argued that the posting of a SJP notice many weeks after issue of the written charge would invalidate the process, requiring dismissal.  In the view of the Society this again confuses the question of “issue” and “serve”:  service is a procedure subsequent to issue.   </w:t>
      </w:r>
    </w:p>
    <w:p w14:paraId="2020019C" w14:textId="77777777" w:rsidR="00475D1F" w:rsidRDefault="00475D1F" w:rsidP="00B1670F">
      <w:pPr>
        <w:jc w:val="both"/>
        <w:rPr>
          <w:rFonts w:cs="Arial"/>
          <w:szCs w:val="24"/>
        </w:rPr>
      </w:pPr>
      <w:r>
        <w:rPr>
          <w:rFonts w:cs="Arial"/>
          <w:szCs w:val="24"/>
        </w:rPr>
        <w:t>In reality, the decision of a prosecutor to issue a written charge will almost invariably be accompanied by a decision to proceed by way of SJP notice, and thus the issue of both documents will be virtually simultaneous.  Thereafter there will be a delay, whether long or short, in posting or emailing the charge and SJP notice, but that has no impact on the validity of the process of issuing them.</w:t>
      </w:r>
    </w:p>
    <w:p w14:paraId="06EA83F5" w14:textId="77777777" w:rsidR="00475D1F" w:rsidRDefault="00475D1F" w:rsidP="00B1670F">
      <w:pPr>
        <w:jc w:val="both"/>
        <w:rPr>
          <w:rFonts w:cs="Arial"/>
          <w:szCs w:val="24"/>
        </w:rPr>
      </w:pPr>
      <w:r>
        <w:rPr>
          <w:rFonts w:cs="Arial"/>
          <w:szCs w:val="24"/>
        </w:rPr>
        <w:t xml:space="preserve">There may however be two adverse consequences for the prosecutor.  Firstly, a long delay between the date of issue, as asserted by the prosecutor, and the date of service, may cast </w:t>
      </w:r>
      <w:r>
        <w:rPr>
          <w:rFonts w:cs="Arial"/>
          <w:szCs w:val="24"/>
        </w:rPr>
        <w:lastRenderedPageBreak/>
        <w:t xml:space="preserve">doubt on the truth of that assertion, particularly if the date of service was outside the six month period prescribed in s. 127.  </w:t>
      </w:r>
    </w:p>
    <w:p w14:paraId="6DD51003" w14:textId="77777777" w:rsidR="00475D1F" w:rsidRDefault="00475D1F" w:rsidP="00B1670F">
      <w:pPr>
        <w:jc w:val="both"/>
        <w:rPr>
          <w:rFonts w:cs="Arial"/>
          <w:szCs w:val="24"/>
        </w:rPr>
      </w:pPr>
    </w:p>
    <w:p w14:paraId="21D44445" w14:textId="77777777" w:rsidR="00475D1F" w:rsidRPr="008634CC" w:rsidRDefault="00475D1F" w:rsidP="00545B5B">
      <w:pPr>
        <w:spacing w:after="0"/>
        <w:rPr>
          <w:rFonts w:cs="Arial"/>
        </w:rPr>
      </w:pPr>
      <w:r>
        <w:rPr>
          <w:rFonts w:cs="Arial"/>
        </w:rPr>
        <w:t>Yours sincerely</w:t>
      </w:r>
    </w:p>
    <w:p w14:paraId="674BC43C" w14:textId="77777777" w:rsidR="00475D1F" w:rsidRPr="008634CC" w:rsidRDefault="00475D1F" w:rsidP="00545B5B">
      <w:pPr>
        <w:spacing w:after="0"/>
        <w:rPr>
          <w:rFonts w:cs="Arial"/>
        </w:rPr>
      </w:pPr>
    </w:p>
    <w:p w14:paraId="60B42256" w14:textId="77777777" w:rsidR="00475D1F" w:rsidRPr="008634CC" w:rsidRDefault="00475D1F" w:rsidP="00545B5B">
      <w:pPr>
        <w:spacing w:after="0"/>
        <w:rPr>
          <w:rFonts w:cs="Arial"/>
        </w:rPr>
      </w:pPr>
      <w:r w:rsidRPr="008634CC">
        <w:rPr>
          <w:rFonts w:cs="Arial"/>
        </w:rPr>
        <w:t>The Justices’ Clerks’ Society</w:t>
      </w:r>
    </w:p>
    <w:p w14:paraId="799636B3" w14:textId="77777777" w:rsidR="00475D1F" w:rsidRDefault="00475D1F" w:rsidP="00B1670F">
      <w:pPr>
        <w:jc w:val="both"/>
        <w:rPr>
          <w:rFonts w:cs="Arial"/>
          <w:szCs w:val="24"/>
        </w:rPr>
      </w:pPr>
    </w:p>
    <w:sectPr w:rsidR="00475D1F" w:rsidSect="001C234F">
      <w:headerReference w:type="default" r:id="rId8"/>
      <w:footerReference w:type="default" r:id="rId9"/>
      <w:headerReference w:type="first" r:id="rId10"/>
      <w:footnotePr>
        <w:numRestart w:val="eachPage"/>
      </w:footnotePr>
      <w:pgSz w:w="11905" w:h="16837" w:code="9"/>
      <w:pgMar w:top="36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8CF51" w14:textId="77777777" w:rsidR="00475D1F" w:rsidRDefault="00475D1F">
      <w:r>
        <w:separator/>
      </w:r>
    </w:p>
    <w:p w14:paraId="4116228E" w14:textId="77777777" w:rsidR="00475D1F" w:rsidRDefault="00475D1F"/>
  </w:endnote>
  <w:endnote w:type="continuationSeparator" w:id="0">
    <w:p w14:paraId="5448F446" w14:textId="77777777" w:rsidR="00475D1F" w:rsidRDefault="00475D1F">
      <w:r>
        <w:continuationSeparator/>
      </w:r>
    </w:p>
    <w:p w14:paraId="0DCFF7D3" w14:textId="77777777" w:rsidR="00475D1F" w:rsidRDefault="00475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A415" w14:textId="4ACD84EF" w:rsidR="00475D1F" w:rsidRDefault="00475D1F">
    <w:pPr>
      <w:pStyle w:val="Footer"/>
      <w:tabs>
        <w:tab w:val="clear" w:pos="4153"/>
        <w:tab w:val="clear" w:pos="8306"/>
        <w:tab w:val="center" w:pos="4320"/>
        <w:tab w:val="right" w:pos="8820"/>
      </w:tabs>
      <w:jc w:val="center"/>
    </w:pPr>
    <w:r>
      <w:rPr>
        <w:rStyle w:val="PageNumber"/>
      </w:rPr>
      <w:fldChar w:fldCharType="begin"/>
    </w:r>
    <w:r>
      <w:rPr>
        <w:rStyle w:val="PageNumber"/>
      </w:rPr>
      <w:instrText xml:space="preserve"> PAGE </w:instrText>
    </w:r>
    <w:r>
      <w:rPr>
        <w:rStyle w:val="PageNumber"/>
      </w:rPr>
      <w:fldChar w:fldCharType="separate"/>
    </w:r>
    <w:r w:rsidR="0027148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BB3A" w14:textId="77777777" w:rsidR="00475D1F" w:rsidRDefault="00475D1F">
      <w:r>
        <w:separator/>
      </w:r>
    </w:p>
    <w:p w14:paraId="6A3F4C93" w14:textId="77777777" w:rsidR="00475D1F" w:rsidRDefault="00475D1F"/>
  </w:footnote>
  <w:footnote w:type="continuationSeparator" w:id="0">
    <w:p w14:paraId="041B09F8" w14:textId="77777777" w:rsidR="00475D1F" w:rsidRDefault="00475D1F">
      <w:r>
        <w:continuationSeparator/>
      </w:r>
    </w:p>
    <w:p w14:paraId="1C5A1A7B" w14:textId="77777777" w:rsidR="00475D1F" w:rsidRDefault="00475D1F"/>
  </w:footnote>
  <w:footnote w:id="1">
    <w:p w14:paraId="0E4F0CBC" w14:textId="77777777" w:rsidR="00475D1F" w:rsidRDefault="00475D1F">
      <w:pPr>
        <w:pStyle w:val="FootnoteText"/>
      </w:pPr>
      <w:r>
        <w:rPr>
          <w:rStyle w:val="FootnoteReference"/>
        </w:rPr>
        <w:footnoteRef/>
      </w:r>
      <w:r>
        <w:t xml:space="preserve">Criminal Justice Act 2003 s. 29(1)   </w:t>
      </w:r>
    </w:p>
  </w:footnote>
  <w:footnote w:id="2">
    <w:p w14:paraId="09A83316" w14:textId="77777777" w:rsidR="00475D1F" w:rsidRDefault="00475D1F">
      <w:pPr>
        <w:pStyle w:val="FootnoteText"/>
      </w:pPr>
      <w:r>
        <w:rPr>
          <w:rStyle w:val="FootnoteReference"/>
        </w:rPr>
        <w:footnoteRef/>
      </w:r>
      <w:r>
        <w:t xml:space="preserve"> Ibid s. 29(2)</w:t>
      </w:r>
    </w:p>
  </w:footnote>
  <w:footnote w:id="3">
    <w:p w14:paraId="14BC7B9B" w14:textId="77777777" w:rsidR="00475D1F" w:rsidRDefault="00475D1F">
      <w:pPr>
        <w:pStyle w:val="FootnoteText"/>
      </w:pPr>
      <w:r>
        <w:rPr>
          <w:rStyle w:val="FootnoteReference"/>
        </w:rPr>
        <w:footnoteRef/>
      </w:r>
      <w:r>
        <w:t xml:space="preserve"> </w:t>
      </w:r>
      <w:r w:rsidRPr="00B03C24">
        <w:rPr>
          <w:rFonts w:cs="Arial"/>
          <w:i/>
          <w:szCs w:val="24"/>
        </w:rPr>
        <w:t>R v Manchester Stipendiary Magistrate, Ex p Hill</w:t>
      </w:r>
      <w:r w:rsidRPr="00B03C24">
        <w:rPr>
          <w:rFonts w:cs="Arial"/>
          <w:szCs w:val="24"/>
        </w:rPr>
        <w:t xml:space="preserve"> 1982 RTR 449</w:t>
      </w:r>
    </w:p>
  </w:footnote>
  <w:footnote w:id="4">
    <w:p w14:paraId="1DDEAE05" w14:textId="77777777" w:rsidR="00475D1F" w:rsidRDefault="00475D1F">
      <w:pPr>
        <w:pStyle w:val="FootnoteText"/>
      </w:pPr>
      <w:r>
        <w:rPr>
          <w:rStyle w:val="FootnoteReference"/>
        </w:rPr>
        <w:footnoteRef/>
      </w:r>
      <w:r>
        <w:t xml:space="preserve"> Criminal Justice Act 2003 s. 29(3) and (3A)</w:t>
      </w:r>
    </w:p>
  </w:footnote>
  <w:footnote w:id="5">
    <w:p w14:paraId="02C6BEF3" w14:textId="77777777" w:rsidR="00475D1F" w:rsidRDefault="00475D1F">
      <w:pPr>
        <w:pStyle w:val="FootnoteText"/>
      </w:pPr>
      <w:r>
        <w:rPr>
          <w:rStyle w:val="FootnoteReference"/>
        </w:rPr>
        <w:footnoteRef/>
      </w:r>
      <w:r>
        <w:t xml:space="preserve"> Ibid s. 30(5)</w:t>
      </w:r>
    </w:p>
  </w:footnote>
  <w:footnote w:id="6">
    <w:p w14:paraId="1D982E8C" w14:textId="77777777" w:rsidR="00475D1F" w:rsidRDefault="00475D1F">
      <w:pPr>
        <w:pStyle w:val="FootnoteText"/>
      </w:pPr>
      <w:r>
        <w:rPr>
          <w:rStyle w:val="FootnoteReference"/>
        </w:rPr>
        <w:footnoteRef/>
      </w:r>
      <w:r>
        <w:t xml:space="preserve"> </w:t>
      </w:r>
      <w:r w:rsidRPr="00517E6A">
        <w:rPr>
          <w:szCs w:val="22"/>
        </w:rPr>
        <w:t>[2004] 3 All ER 971, [2005] 1 WLR 96, 168 JP 472</w:t>
      </w:r>
    </w:p>
  </w:footnote>
  <w:footnote w:id="7">
    <w:p w14:paraId="723E6229" w14:textId="77777777" w:rsidR="00475D1F" w:rsidRDefault="00475D1F">
      <w:pPr>
        <w:pStyle w:val="FootnoteText"/>
      </w:pPr>
      <w:r>
        <w:rPr>
          <w:rStyle w:val="FootnoteReference"/>
        </w:rPr>
        <w:footnoteRef/>
      </w:r>
      <w:r>
        <w:t xml:space="preserve"> OED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C014" w14:textId="77777777" w:rsidR="00475D1F" w:rsidRDefault="00475D1F" w:rsidP="00684CEB">
    <w:pPr>
      <w:pStyle w:val="Header"/>
      <w:spacing w:after="0" w:line="240" w:lineRule="auto"/>
      <w:jc w:val="right"/>
    </w:pPr>
  </w:p>
  <w:p w14:paraId="55B3A2B2" w14:textId="77777777" w:rsidR="00475D1F" w:rsidRDefault="00475D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D9F8" w14:textId="70695D51" w:rsidR="00475D1F" w:rsidRDefault="0027148C">
    <w:pPr>
      <w:pStyle w:val="Header"/>
    </w:pPr>
    <w:r>
      <w:rPr>
        <w:noProof/>
        <w:lang w:eastAsia="en-GB"/>
      </w:rPr>
      <mc:AlternateContent>
        <mc:Choice Requires="wps">
          <w:drawing>
            <wp:anchor distT="0" distB="0" distL="114300" distR="114300" simplePos="0" relativeHeight="251660288" behindDoc="0" locked="0" layoutInCell="1" allowOverlap="1" wp14:anchorId="2487F1AC" wp14:editId="42F29C77">
              <wp:simplePos x="0" y="0"/>
              <wp:positionH relativeFrom="column">
                <wp:posOffset>-304800</wp:posOffset>
              </wp:positionH>
              <wp:positionV relativeFrom="paragraph">
                <wp:posOffset>-203835</wp:posOffset>
              </wp:positionV>
              <wp:extent cx="2326005" cy="144907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74BDE" w14:textId="41FE53DD" w:rsidR="00475D1F" w:rsidRDefault="0027148C" w:rsidP="001C234F">
                          <w:r>
                            <w:rPr>
                              <w:noProof/>
                              <w:lang w:eastAsia="en-GB"/>
                            </w:rPr>
                            <w:drawing>
                              <wp:inline distT="0" distB="0" distL="0" distR="0" wp14:anchorId="3A8EB29E" wp14:editId="2C152377">
                                <wp:extent cx="2143125" cy="1200150"/>
                                <wp:effectExtent l="0" t="0" r="0" b="0"/>
                                <wp:docPr id="2"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87F1AC" id="_x0000_t202" coordsize="21600,21600" o:spt="202" path="m,l,21600r21600,l21600,xe">
              <v:stroke joinstyle="miter"/>
              <v:path gradientshapeok="t" o:connecttype="rect"/>
            </v:shapetype>
            <v:shape id="Text Box 4" o:spid="_x0000_s1026" type="#_x0000_t202" style="position:absolute;margin-left:-24pt;margin-top:-16.05pt;width:183.15pt;height:11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kWggIAAA4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" stroked="f">
              <v:textbox style="mso-fit-shape-to-text:t">
                <w:txbxContent>
                  <w:p w14:paraId="28874BDE" w14:textId="41FE53DD" w:rsidR="00475D1F" w:rsidRDefault="0027148C" w:rsidP="001C234F">
                    <w:r>
                      <w:rPr>
                        <w:noProof/>
                        <w:lang w:eastAsia="en-GB"/>
                      </w:rPr>
                      <w:drawing>
                        <wp:inline distT="0" distB="0" distL="0" distR="0" wp14:anchorId="3A8EB29E" wp14:editId="2C152377">
                          <wp:extent cx="2143125" cy="1200150"/>
                          <wp:effectExtent l="0" t="0" r="0" b="0"/>
                          <wp:docPr id="2"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4C00EC"/>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9028B054"/>
    <w:lvl w:ilvl="0">
      <w:start w:val="1"/>
      <w:numFmt w:val="lowerLetter"/>
      <w:lvlText w:val="%1."/>
      <w:lvlJc w:val="left"/>
      <w:pPr>
        <w:tabs>
          <w:tab w:val="num" w:pos="643"/>
        </w:tabs>
        <w:ind w:left="643" w:hanging="360"/>
      </w:pPr>
      <w:rPr>
        <w:rFonts w:cs="Times New Roman" w:hint="default"/>
      </w:rPr>
    </w:lvl>
  </w:abstractNum>
  <w:abstractNum w:abstractNumId="2" w15:restartNumberingAfterBreak="0">
    <w:nsid w:val="FFFFFF82"/>
    <w:multiLevelType w:val="singleLevel"/>
    <w:tmpl w:val="87D4371E"/>
    <w:lvl w:ilvl="0">
      <w:start w:val="1"/>
      <w:numFmt w:val="bullet"/>
      <w:pStyle w:val="ListNumber"/>
      <w:lvlText w:val=""/>
      <w:lvlJc w:val="left"/>
      <w:pPr>
        <w:tabs>
          <w:tab w:val="num" w:pos="926"/>
        </w:tabs>
        <w:ind w:left="926" w:hanging="360"/>
      </w:pPr>
      <w:rPr>
        <w:rFonts w:ascii="Wingdings" w:hAnsi="Wingdings" w:hint="default"/>
      </w:rPr>
    </w:lvl>
  </w:abstractNum>
  <w:abstractNum w:abstractNumId="3" w15:restartNumberingAfterBreak="0">
    <w:nsid w:val="FFFFFF88"/>
    <w:multiLevelType w:val="singleLevel"/>
    <w:tmpl w:val="41A84F42"/>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F0C8E7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F36997"/>
    <w:multiLevelType w:val="multilevel"/>
    <w:tmpl w:val="7BD295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B431CB"/>
    <w:multiLevelType w:val="hybridMultilevel"/>
    <w:tmpl w:val="C868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A6CF1"/>
    <w:multiLevelType w:val="hybridMultilevel"/>
    <w:tmpl w:val="7BD295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45584A"/>
    <w:multiLevelType w:val="hybridMultilevel"/>
    <w:tmpl w:val="C606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52752"/>
    <w:multiLevelType w:val="hybridMultilevel"/>
    <w:tmpl w:val="058E74D2"/>
    <w:lvl w:ilvl="0" w:tplc="08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360"/>
        </w:tabs>
        <w:ind w:left="36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18C315FA"/>
    <w:multiLevelType w:val="hybridMultilevel"/>
    <w:tmpl w:val="96F85028"/>
    <w:lvl w:ilvl="0" w:tplc="C89EE0B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070A2"/>
    <w:multiLevelType w:val="hybridMultilevel"/>
    <w:tmpl w:val="728270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A77174"/>
    <w:multiLevelType w:val="hybridMultilevel"/>
    <w:tmpl w:val="772681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39D11F2"/>
    <w:multiLevelType w:val="hybridMultilevel"/>
    <w:tmpl w:val="310297E6"/>
    <w:lvl w:ilvl="0" w:tplc="04E422A6">
      <w:start w:val="1"/>
      <w:numFmt w:val="lowerRoman"/>
      <w:lvlText w:val="%1."/>
      <w:lvlJc w:val="left"/>
      <w:pPr>
        <w:tabs>
          <w:tab w:val="num" w:pos="72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693EE8"/>
    <w:multiLevelType w:val="hybridMultilevel"/>
    <w:tmpl w:val="0674F15A"/>
    <w:lvl w:ilvl="0" w:tplc="E3FCC6AE">
      <w:start w:val="1"/>
      <w:numFmt w:val="lowerLetter"/>
      <w:pStyle w:val="ListNumber2"/>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A784997"/>
    <w:multiLevelType w:val="hybridMultilevel"/>
    <w:tmpl w:val="EACC22CE"/>
    <w:lvl w:ilvl="0" w:tplc="FFFFFFF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2E21C10"/>
    <w:multiLevelType w:val="singleLevel"/>
    <w:tmpl w:val="08090015"/>
    <w:lvl w:ilvl="0">
      <w:start w:val="17"/>
      <w:numFmt w:val="upperLetter"/>
      <w:lvlText w:val="%1."/>
      <w:lvlJc w:val="left"/>
      <w:pPr>
        <w:tabs>
          <w:tab w:val="num" w:pos="360"/>
        </w:tabs>
        <w:ind w:left="360" w:hanging="360"/>
      </w:pPr>
      <w:rPr>
        <w:rFonts w:cs="Times New Roman" w:hint="default"/>
      </w:rPr>
    </w:lvl>
  </w:abstractNum>
  <w:num w:numId="1">
    <w:abstractNumId w:val="3"/>
  </w:num>
  <w:num w:numId="2">
    <w:abstractNumId w:val="1"/>
  </w:num>
  <w:num w:numId="3">
    <w:abstractNumId w:val="4"/>
  </w:num>
  <w:num w:numId="4">
    <w:abstractNumId w:val="2"/>
  </w:num>
  <w:num w:numId="5">
    <w:abstractNumId w:val="3"/>
  </w:num>
  <w:num w:numId="6">
    <w:abstractNumId w:val="1"/>
  </w:num>
  <w:num w:numId="7">
    <w:abstractNumId w:val="4"/>
  </w:num>
  <w:num w:numId="8">
    <w:abstractNumId w:val="2"/>
  </w:num>
  <w:num w:numId="9">
    <w:abstractNumId w:val="3"/>
  </w:num>
  <w:num w:numId="10">
    <w:abstractNumId w:val="1"/>
  </w:num>
  <w:num w:numId="11">
    <w:abstractNumId w:val="4"/>
  </w:num>
  <w:num w:numId="12">
    <w:abstractNumId w:val="2"/>
  </w:num>
  <w:num w:numId="13">
    <w:abstractNumId w:val="3"/>
  </w:num>
  <w:num w:numId="14">
    <w:abstractNumId w:val="1"/>
  </w:num>
  <w:num w:numId="15">
    <w:abstractNumId w:val="4"/>
  </w:num>
  <w:num w:numId="16">
    <w:abstractNumId w:val="2"/>
  </w:num>
  <w:num w:numId="17">
    <w:abstractNumId w:val="0"/>
  </w:num>
  <w:num w:numId="18">
    <w:abstractNumId w:val="3"/>
  </w:num>
  <w:num w:numId="19">
    <w:abstractNumId w:val="10"/>
  </w:num>
  <w:num w:numId="20">
    <w:abstractNumId w:val="10"/>
  </w:num>
  <w:num w:numId="21">
    <w:abstractNumId w:val="1"/>
  </w:num>
  <w:num w:numId="22">
    <w:abstractNumId w:val="1"/>
  </w:num>
  <w:num w:numId="23">
    <w:abstractNumId w:val="14"/>
  </w:num>
  <w:num w:numId="24">
    <w:abstractNumId w:val="4"/>
  </w:num>
  <w:num w:numId="25">
    <w:abstractNumId w:val="4"/>
  </w:num>
  <w:num w:numId="26">
    <w:abstractNumId w:val="4"/>
  </w:num>
  <w:num w:numId="27">
    <w:abstractNumId w:val="4"/>
  </w:num>
  <w:num w:numId="28">
    <w:abstractNumId w:val="10"/>
  </w:num>
  <w:num w:numId="29">
    <w:abstractNumId w:val="2"/>
  </w:num>
  <w:num w:numId="30">
    <w:abstractNumId w:val="2"/>
  </w:num>
  <w:num w:numId="31">
    <w:abstractNumId w:val="2"/>
  </w:num>
  <w:num w:numId="32">
    <w:abstractNumId w:val="2"/>
  </w:num>
  <w:num w:numId="33">
    <w:abstractNumId w:val="13"/>
  </w:num>
  <w:num w:numId="34">
    <w:abstractNumId w:val="1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15"/>
  </w:num>
  <w:num w:numId="39">
    <w:abstractNumId w:val="9"/>
  </w:num>
  <w:num w:numId="40">
    <w:abstractNumId w:val="11"/>
  </w:num>
  <w:num w:numId="41">
    <w:abstractNumId w:val="7"/>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3F"/>
    <w:rsid w:val="00020996"/>
    <w:rsid w:val="0002429F"/>
    <w:rsid w:val="000271D2"/>
    <w:rsid w:val="00045FFA"/>
    <w:rsid w:val="00046783"/>
    <w:rsid w:val="00075E14"/>
    <w:rsid w:val="00083CC5"/>
    <w:rsid w:val="00084058"/>
    <w:rsid w:val="0009115D"/>
    <w:rsid w:val="00095452"/>
    <w:rsid w:val="000F6CD4"/>
    <w:rsid w:val="00141886"/>
    <w:rsid w:val="00146C32"/>
    <w:rsid w:val="001665EF"/>
    <w:rsid w:val="00170CBC"/>
    <w:rsid w:val="001A124B"/>
    <w:rsid w:val="001C234F"/>
    <w:rsid w:val="001D10C9"/>
    <w:rsid w:val="001D275F"/>
    <w:rsid w:val="001E327F"/>
    <w:rsid w:val="001E7C2E"/>
    <w:rsid w:val="00204D6D"/>
    <w:rsid w:val="00223081"/>
    <w:rsid w:val="00245A7A"/>
    <w:rsid w:val="00267AC0"/>
    <w:rsid w:val="0027148C"/>
    <w:rsid w:val="0027533A"/>
    <w:rsid w:val="00283485"/>
    <w:rsid w:val="00292F9E"/>
    <w:rsid w:val="002942F8"/>
    <w:rsid w:val="002B26D8"/>
    <w:rsid w:val="002B66AD"/>
    <w:rsid w:val="002E6E4B"/>
    <w:rsid w:val="002F4182"/>
    <w:rsid w:val="00306C7A"/>
    <w:rsid w:val="00311A2F"/>
    <w:rsid w:val="00342B88"/>
    <w:rsid w:val="0036062E"/>
    <w:rsid w:val="00361880"/>
    <w:rsid w:val="0038194B"/>
    <w:rsid w:val="003A10E6"/>
    <w:rsid w:val="003E27EE"/>
    <w:rsid w:val="004038AD"/>
    <w:rsid w:val="00406D88"/>
    <w:rsid w:val="004271AB"/>
    <w:rsid w:val="00475D1F"/>
    <w:rsid w:val="004815D5"/>
    <w:rsid w:val="00482F2A"/>
    <w:rsid w:val="0049534E"/>
    <w:rsid w:val="004A1D4C"/>
    <w:rsid w:val="004B1B6A"/>
    <w:rsid w:val="004B6716"/>
    <w:rsid w:val="004C06D3"/>
    <w:rsid w:val="004C5DC8"/>
    <w:rsid w:val="004E7A0D"/>
    <w:rsid w:val="004F3115"/>
    <w:rsid w:val="00502EE3"/>
    <w:rsid w:val="00517E6A"/>
    <w:rsid w:val="005245C9"/>
    <w:rsid w:val="00533B4B"/>
    <w:rsid w:val="00536C56"/>
    <w:rsid w:val="00545513"/>
    <w:rsid w:val="00545B5B"/>
    <w:rsid w:val="0056091F"/>
    <w:rsid w:val="00565D41"/>
    <w:rsid w:val="0058250F"/>
    <w:rsid w:val="00587FBC"/>
    <w:rsid w:val="005C4BF9"/>
    <w:rsid w:val="00623AA7"/>
    <w:rsid w:val="00642261"/>
    <w:rsid w:val="006553AD"/>
    <w:rsid w:val="0065735A"/>
    <w:rsid w:val="00660696"/>
    <w:rsid w:val="00682709"/>
    <w:rsid w:val="00684CEB"/>
    <w:rsid w:val="00691E4F"/>
    <w:rsid w:val="00696C78"/>
    <w:rsid w:val="006A03EF"/>
    <w:rsid w:val="006B1AF9"/>
    <w:rsid w:val="006B3737"/>
    <w:rsid w:val="006D5B0D"/>
    <w:rsid w:val="007120CD"/>
    <w:rsid w:val="00723639"/>
    <w:rsid w:val="00741278"/>
    <w:rsid w:val="00766EF9"/>
    <w:rsid w:val="00771AEC"/>
    <w:rsid w:val="00774CF2"/>
    <w:rsid w:val="007872FA"/>
    <w:rsid w:val="0079063F"/>
    <w:rsid w:val="007A1610"/>
    <w:rsid w:val="007F58B7"/>
    <w:rsid w:val="008042CF"/>
    <w:rsid w:val="0080516E"/>
    <w:rsid w:val="00817044"/>
    <w:rsid w:val="0083789C"/>
    <w:rsid w:val="008527FA"/>
    <w:rsid w:val="00855ECF"/>
    <w:rsid w:val="008634CC"/>
    <w:rsid w:val="00896449"/>
    <w:rsid w:val="008B7D71"/>
    <w:rsid w:val="008B7F97"/>
    <w:rsid w:val="008D24AE"/>
    <w:rsid w:val="008F1519"/>
    <w:rsid w:val="00904C57"/>
    <w:rsid w:val="00931B51"/>
    <w:rsid w:val="00952554"/>
    <w:rsid w:val="00970627"/>
    <w:rsid w:val="009B188C"/>
    <w:rsid w:val="009B603D"/>
    <w:rsid w:val="009D242C"/>
    <w:rsid w:val="009E1D8E"/>
    <w:rsid w:val="009E546B"/>
    <w:rsid w:val="009F5314"/>
    <w:rsid w:val="00A231FB"/>
    <w:rsid w:val="00A42FFE"/>
    <w:rsid w:val="00A52F1A"/>
    <w:rsid w:val="00A64323"/>
    <w:rsid w:val="00A916F0"/>
    <w:rsid w:val="00A97C01"/>
    <w:rsid w:val="00AC3FA2"/>
    <w:rsid w:val="00AD6083"/>
    <w:rsid w:val="00AF561B"/>
    <w:rsid w:val="00B03C24"/>
    <w:rsid w:val="00B1670F"/>
    <w:rsid w:val="00B22E4D"/>
    <w:rsid w:val="00B4699C"/>
    <w:rsid w:val="00B942B9"/>
    <w:rsid w:val="00B943A0"/>
    <w:rsid w:val="00B978C1"/>
    <w:rsid w:val="00BA2460"/>
    <w:rsid w:val="00C65FD0"/>
    <w:rsid w:val="00C93B8B"/>
    <w:rsid w:val="00C96BA1"/>
    <w:rsid w:val="00CB1C85"/>
    <w:rsid w:val="00CE4E76"/>
    <w:rsid w:val="00CF582D"/>
    <w:rsid w:val="00CF769A"/>
    <w:rsid w:val="00D11EFC"/>
    <w:rsid w:val="00D13EF2"/>
    <w:rsid w:val="00D4069B"/>
    <w:rsid w:val="00D50974"/>
    <w:rsid w:val="00D862AA"/>
    <w:rsid w:val="00DA283F"/>
    <w:rsid w:val="00DB6606"/>
    <w:rsid w:val="00DC523A"/>
    <w:rsid w:val="00E004ED"/>
    <w:rsid w:val="00E00CD9"/>
    <w:rsid w:val="00E14E13"/>
    <w:rsid w:val="00E31566"/>
    <w:rsid w:val="00E3177D"/>
    <w:rsid w:val="00E447CF"/>
    <w:rsid w:val="00E44CDA"/>
    <w:rsid w:val="00E858C3"/>
    <w:rsid w:val="00EB36FD"/>
    <w:rsid w:val="00EC2F89"/>
    <w:rsid w:val="00EE77F3"/>
    <w:rsid w:val="00F03FCC"/>
    <w:rsid w:val="00F32E89"/>
    <w:rsid w:val="00F435AD"/>
    <w:rsid w:val="00F60D5E"/>
    <w:rsid w:val="00FB26E5"/>
    <w:rsid w:val="00FC425A"/>
    <w:rsid w:val="00FC6135"/>
    <w:rsid w:val="00FC6FA8"/>
    <w:rsid w:val="00FC74E3"/>
    <w:rsid w:val="00FE5597"/>
    <w:rsid w:val="00FE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0420CB1D"/>
  <w15:docId w15:val="{A4BDAF08-326D-4997-BB6E-ACB3634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603D"/>
    <w:pPr>
      <w:spacing w:after="120" w:line="360" w:lineRule="auto"/>
    </w:pPr>
    <w:rPr>
      <w:rFonts w:ascii="Arial" w:hAnsi="Arial"/>
      <w:lang w:eastAsia="en-US"/>
    </w:rPr>
  </w:style>
  <w:style w:type="paragraph" w:styleId="Heading1">
    <w:name w:val="heading 1"/>
    <w:basedOn w:val="Normal"/>
    <w:next w:val="Normal"/>
    <w:link w:val="Heading1Char"/>
    <w:uiPriority w:val="99"/>
    <w:qFormat/>
    <w:rsid w:val="009B188C"/>
    <w:pPr>
      <w:keepNext/>
      <w:jc w:val="center"/>
      <w:outlineLvl w:val="0"/>
    </w:pPr>
    <w:rPr>
      <w:b/>
      <w:color w:val="000000"/>
      <w:sz w:val="32"/>
    </w:rPr>
  </w:style>
  <w:style w:type="paragraph" w:styleId="Heading2">
    <w:name w:val="heading 2"/>
    <w:basedOn w:val="Normal"/>
    <w:next w:val="Normal"/>
    <w:link w:val="Heading2Char"/>
    <w:uiPriority w:val="99"/>
    <w:qFormat/>
    <w:rsid w:val="009B188C"/>
    <w:pPr>
      <w:keepNext/>
      <w:outlineLvl w:val="1"/>
    </w:pPr>
    <w:rPr>
      <w:b/>
    </w:rPr>
  </w:style>
  <w:style w:type="paragraph" w:styleId="Heading3">
    <w:name w:val="heading 3"/>
    <w:basedOn w:val="Normal"/>
    <w:next w:val="Normal"/>
    <w:link w:val="Heading3Char"/>
    <w:uiPriority w:val="99"/>
    <w:qFormat/>
    <w:rsid w:val="002B26D8"/>
    <w:pPr>
      <w:keepNext/>
      <w:tabs>
        <w:tab w:val="left" w:pos="432"/>
      </w:tabs>
      <w:outlineLvl w:val="2"/>
    </w:pPr>
    <w:rPr>
      <w:i/>
    </w:rPr>
  </w:style>
  <w:style w:type="paragraph" w:styleId="Heading4">
    <w:name w:val="heading 4"/>
    <w:basedOn w:val="Normal"/>
    <w:next w:val="Normal"/>
    <w:link w:val="Heading4Char"/>
    <w:uiPriority w:val="99"/>
    <w:qFormat/>
    <w:rsid w:val="00D11EFC"/>
    <w:pPr>
      <w:keepNex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5735A"/>
    <w:rPr>
      <w:rFonts w:ascii="Arial" w:hAnsi="Arial" w:cs="Times New Roman"/>
      <w:b/>
      <w:sz w:val="22"/>
      <w:szCs w:val="2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styleId="Hyperlink">
    <w:name w:val="Hyperlink"/>
    <w:basedOn w:val="DefaultParagraphFont"/>
    <w:uiPriority w:val="99"/>
    <w:rsid w:val="008527FA"/>
    <w:rPr>
      <w:rFonts w:ascii="Arial" w:hAnsi="Arial" w:cs="Times New Roman"/>
      <w:color w:val="0000FF"/>
      <w:u w:val="single"/>
    </w:rPr>
  </w:style>
  <w:style w:type="paragraph" w:styleId="EnvelopeAddress">
    <w:name w:val="envelope address"/>
    <w:basedOn w:val="Normal"/>
    <w:uiPriority w:val="99"/>
    <w:rsid w:val="00170CBC"/>
    <w:pPr>
      <w:framePr w:w="7920" w:h="1980" w:hRule="exact" w:hSpace="180" w:wrap="auto" w:hAnchor="page" w:xAlign="center" w:yAlign="bottom"/>
      <w:spacing w:after="0"/>
      <w:ind w:left="2880"/>
    </w:pPr>
    <w:rPr>
      <w:rFonts w:cs="Arial"/>
    </w:rPr>
  </w:style>
  <w:style w:type="paragraph" w:styleId="BodyText">
    <w:name w:val="Body Text"/>
    <w:basedOn w:val="Normal"/>
    <w:link w:val="BodyTextChar"/>
    <w:uiPriority w:val="99"/>
    <w:rsid w:val="00684CEB"/>
    <w:pPr>
      <w:spacing w:after="0" w:line="240" w:lineRule="auto"/>
    </w:pPr>
    <w:rPr>
      <w:rFonts w:ascii="Times New Roman" w:hAnsi="Times New Roman"/>
      <w:b/>
      <w:szCs w:val="20"/>
    </w:rPr>
  </w:style>
  <w:style w:type="character" w:customStyle="1" w:styleId="BodyTextChar">
    <w:name w:val="Body Text Char"/>
    <w:basedOn w:val="DefaultParagraphFont"/>
    <w:link w:val="BodyText"/>
    <w:uiPriority w:val="99"/>
    <w:semiHidden/>
    <w:locked/>
    <w:rPr>
      <w:rFonts w:ascii="Arial" w:hAnsi="Arial" w:cs="Times New Roman"/>
      <w:lang w:eastAsia="en-US"/>
    </w:rPr>
  </w:style>
  <w:style w:type="paragraph" w:styleId="Header">
    <w:name w:val="header"/>
    <w:basedOn w:val="Normal"/>
    <w:link w:val="HeaderChar"/>
    <w:uiPriority w:val="99"/>
    <w:rsid w:val="00502EE3"/>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lang w:eastAsia="en-US"/>
    </w:rPr>
  </w:style>
  <w:style w:type="paragraph" w:styleId="Footer">
    <w:name w:val="footer"/>
    <w:basedOn w:val="Normal"/>
    <w:link w:val="FooterChar"/>
    <w:uiPriority w:val="99"/>
    <w:rsid w:val="00502EE3"/>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lang w:eastAsia="en-US"/>
    </w:rPr>
  </w:style>
  <w:style w:type="character" w:styleId="PageNumber">
    <w:name w:val="page number"/>
    <w:basedOn w:val="DefaultParagraphFont"/>
    <w:uiPriority w:val="99"/>
    <w:rsid w:val="008527FA"/>
    <w:rPr>
      <w:rFonts w:ascii="Arial" w:hAnsi="Arial" w:cs="Times New Roman"/>
      <w:sz w:val="20"/>
    </w:rPr>
  </w:style>
  <w:style w:type="paragraph" w:styleId="ListNumber">
    <w:name w:val="List Number"/>
    <w:basedOn w:val="Normal"/>
    <w:uiPriority w:val="99"/>
    <w:rsid w:val="00696C78"/>
    <w:pPr>
      <w:numPr>
        <w:numId w:val="12"/>
      </w:numPr>
      <w:tabs>
        <w:tab w:val="clear" w:pos="926"/>
        <w:tab w:val="num" w:pos="720"/>
      </w:tabs>
      <w:ind w:left="720"/>
    </w:pPr>
  </w:style>
  <w:style w:type="paragraph" w:styleId="ListNumber2">
    <w:name w:val="List Number 2"/>
    <w:basedOn w:val="Normal"/>
    <w:uiPriority w:val="99"/>
    <w:rsid w:val="00502EE3"/>
    <w:pPr>
      <w:numPr>
        <w:numId w:val="23"/>
      </w:numPr>
    </w:pPr>
  </w:style>
  <w:style w:type="paragraph" w:styleId="ListBullet">
    <w:name w:val="List Bullet"/>
    <w:basedOn w:val="Normal"/>
    <w:uiPriority w:val="99"/>
    <w:rsid w:val="00502EE3"/>
    <w:pPr>
      <w:numPr>
        <w:numId w:val="11"/>
      </w:numPr>
      <w:spacing w:after="60"/>
    </w:pPr>
  </w:style>
  <w:style w:type="paragraph" w:styleId="ListBullet3">
    <w:name w:val="List Bullet 3"/>
    <w:basedOn w:val="Normal"/>
    <w:uiPriority w:val="99"/>
    <w:rsid w:val="000F6CD4"/>
    <w:pPr>
      <w:widowControl w:val="0"/>
      <w:tabs>
        <w:tab w:val="num" w:pos="926"/>
      </w:tabs>
      <w:ind w:left="926" w:hanging="360"/>
    </w:pPr>
    <w:rPr>
      <w:szCs w:val="20"/>
    </w:rPr>
  </w:style>
  <w:style w:type="paragraph" w:styleId="Title">
    <w:name w:val="Title"/>
    <w:basedOn w:val="Normal"/>
    <w:link w:val="TitleChar"/>
    <w:uiPriority w:val="99"/>
    <w:qFormat/>
    <w:rsid w:val="00766EF9"/>
    <w:pPr>
      <w:spacing w:before="240" w:after="60"/>
      <w:jc w:val="center"/>
      <w:outlineLvl w:val="0"/>
    </w:pPr>
    <w:rPr>
      <w:rFonts w:ascii="Trebuchet MS" w:hAnsi="Trebuchet MS" w:cs="Arial"/>
      <w:b/>
      <w:bCs/>
      <w:kern w:val="28"/>
      <w:sz w:val="48"/>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styleId="Emphasis">
    <w:name w:val="Emphasis"/>
    <w:basedOn w:val="DefaultParagraphFont"/>
    <w:uiPriority w:val="99"/>
    <w:qFormat/>
    <w:rsid w:val="00170CBC"/>
    <w:rPr>
      <w:rFonts w:cs="Times New Roman"/>
      <w:i/>
      <w:iCs/>
    </w:rPr>
  </w:style>
  <w:style w:type="paragraph" w:styleId="EnvelopeReturn">
    <w:name w:val="envelope return"/>
    <w:basedOn w:val="Normal"/>
    <w:uiPriority w:val="99"/>
    <w:rsid w:val="00170CBC"/>
    <w:pPr>
      <w:spacing w:after="0"/>
    </w:pPr>
    <w:rPr>
      <w:rFonts w:cs="Arial"/>
      <w:sz w:val="20"/>
      <w:szCs w:val="20"/>
    </w:rPr>
  </w:style>
  <w:style w:type="paragraph" w:customStyle="1" w:styleId="StyleHeading2LeftLeft0Hanging1">
    <w:name w:val="Style Heading 2 + Left Left:  0&quot; Hanging:  1&quot;"/>
    <w:basedOn w:val="Heading2"/>
    <w:uiPriority w:val="99"/>
    <w:rsid w:val="00FE5597"/>
    <w:pPr>
      <w:spacing w:after="240"/>
      <w:ind w:left="1440" w:hanging="1440"/>
    </w:pPr>
    <w:rPr>
      <w:iCs/>
      <w:sz w:val="28"/>
      <w:szCs w:val="20"/>
    </w:rPr>
  </w:style>
  <w:style w:type="paragraph" w:customStyle="1" w:styleId="Default">
    <w:name w:val="Default"/>
    <w:uiPriority w:val="99"/>
    <w:rsid w:val="00684CEB"/>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C234F"/>
    <w:pPr>
      <w:spacing w:after="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8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84058"/>
    <w:rPr>
      <w:rFonts w:ascii="Tahoma" w:hAnsi="Tahoma" w:cs="Tahoma"/>
      <w:sz w:val="16"/>
      <w:szCs w:val="16"/>
      <w:lang w:eastAsia="en-US"/>
    </w:rPr>
  </w:style>
  <w:style w:type="paragraph" w:styleId="ListParagraph">
    <w:name w:val="List Paragraph"/>
    <w:basedOn w:val="Normal"/>
    <w:uiPriority w:val="99"/>
    <w:qFormat/>
    <w:rsid w:val="0079063F"/>
    <w:pPr>
      <w:spacing w:after="0" w:line="240" w:lineRule="auto"/>
      <w:ind w:left="720"/>
      <w:contextualSpacing/>
    </w:pPr>
    <w:rPr>
      <w:rFonts w:ascii="Calibri" w:hAnsi="Calibri"/>
    </w:rPr>
  </w:style>
  <w:style w:type="paragraph" w:styleId="NormalWeb">
    <w:name w:val="Normal (Web)"/>
    <w:basedOn w:val="Normal"/>
    <w:uiPriority w:val="99"/>
    <w:rsid w:val="0002429F"/>
    <w:pPr>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semiHidden/>
    <w:rsid w:val="0002429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2429F"/>
    <w:rPr>
      <w:rFonts w:ascii="Arial" w:hAnsi="Arial" w:cs="Times New Roman"/>
      <w:lang w:eastAsia="en-US"/>
    </w:rPr>
  </w:style>
  <w:style w:type="character" w:styleId="FootnoteReference">
    <w:name w:val="footnote reference"/>
    <w:basedOn w:val="DefaultParagraphFont"/>
    <w:uiPriority w:val="99"/>
    <w:semiHidden/>
    <w:rsid w:val="0002429F"/>
    <w:rPr>
      <w:rFonts w:cs="Times New Roman"/>
      <w:vertAlign w:val="superscript"/>
    </w:rPr>
  </w:style>
  <w:style w:type="paragraph" w:styleId="EndnoteText">
    <w:name w:val="endnote text"/>
    <w:basedOn w:val="Normal"/>
    <w:link w:val="EndnoteTextChar"/>
    <w:uiPriority w:val="99"/>
    <w:semiHidden/>
    <w:rsid w:val="001E327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E327F"/>
    <w:rPr>
      <w:rFonts w:ascii="Arial" w:hAnsi="Arial" w:cs="Times New Roman"/>
      <w:lang w:eastAsia="en-US"/>
    </w:rPr>
  </w:style>
  <w:style w:type="character" w:styleId="EndnoteReference">
    <w:name w:val="endnote reference"/>
    <w:basedOn w:val="DefaultParagraphFont"/>
    <w:uiPriority w:val="99"/>
    <w:semiHidden/>
    <w:rsid w:val="001E32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5077">
      <w:marLeft w:val="0"/>
      <w:marRight w:val="0"/>
      <w:marTop w:val="0"/>
      <w:marBottom w:val="0"/>
      <w:divBdr>
        <w:top w:val="none" w:sz="0" w:space="0" w:color="auto"/>
        <w:left w:val="none" w:sz="0" w:space="0" w:color="auto"/>
        <w:bottom w:val="none" w:sz="0" w:space="0" w:color="auto"/>
        <w:right w:val="none" w:sz="0" w:space="0" w:color="auto"/>
      </w:divBdr>
      <w:divsChild>
        <w:div w:id="761755081">
          <w:marLeft w:val="0"/>
          <w:marRight w:val="0"/>
          <w:marTop w:val="0"/>
          <w:marBottom w:val="0"/>
          <w:divBdr>
            <w:top w:val="none" w:sz="0" w:space="0" w:color="auto"/>
            <w:left w:val="none" w:sz="0" w:space="0" w:color="auto"/>
            <w:bottom w:val="none" w:sz="0" w:space="0" w:color="auto"/>
            <w:right w:val="none" w:sz="0" w:space="0" w:color="auto"/>
          </w:divBdr>
        </w:div>
        <w:div w:id="761755083">
          <w:marLeft w:val="0"/>
          <w:marRight w:val="0"/>
          <w:marTop w:val="0"/>
          <w:marBottom w:val="0"/>
          <w:divBdr>
            <w:top w:val="none" w:sz="0" w:space="0" w:color="auto"/>
            <w:left w:val="none" w:sz="0" w:space="0" w:color="auto"/>
            <w:bottom w:val="none" w:sz="0" w:space="0" w:color="auto"/>
            <w:right w:val="none" w:sz="0" w:space="0" w:color="auto"/>
          </w:divBdr>
          <w:divsChild>
            <w:div w:id="761755092">
              <w:marLeft w:val="0"/>
              <w:marRight w:val="0"/>
              <w:marTop w:val="0"/>
              <w:marBottom w:val="0"/>
              <w:divBdr>
                <w:top w:val="none" w:sz="0" w:space="0" w:color="auto"/>
                <w:left w:val="none" w:sz="0" w:space="0" w:color="auto"/>
                <w:bottom w:val="none" w:sz="0" w:space="0" w:color="auto"/>
                <w:right w:val="none" w:sz="0" w:space="0" w:color="auto"/>
              </w:divBdr>
              <w:divsChild>
                <w:div w:id="761755091">
                  <w:marLeft w:val="0"/>
                  <w:marRight w:val="0"/>
                  <w:marTop w:val="0"/>
                  <w:marBottom w:val="0"/>
                  <w:divBdr>
                    <w:top w:val="none" w:sz="0" w:space="0" w:color="auto"/>
                    <w:left w:val="none" w:sz="0" w:space="0" w:color="auto"/>
                    <w:bottom w:val="none" w:sz="0" w:space="0" w:color="auto"/>
                    <w:right w:val="none" w:sz="0" w:space="0" w:color="auto"/>
                  </w:divBdr>
                </w:div>
                <w:div w:id="761755093">
                  <w:marLeft w:val="0"/>
                  <w:marRight w:val="0"/>
                  <w:marTop w:val="0"/>
                  <w:marBottom w:val="0"/>
                  <w:divBdr>
                    <w:top w:val="none" w:sz="0" w:space="0" w:color="auto"/>
                    <w:left w:val="none" w:sz="0" w:space="0" w:color="auto"/>
                    <w:bottom w:val="none" w:sz="0" w:space="0" w:color="auto"/>
                    <w:right w:val="none" w:sz="0" w:space="0" w:color="auto"/>
                  </w:divBdr>
                </w:div>
              </w:divsChild>
            </w:div>
            <w:div w:id="761755096">
              <w:marLeft w:val="0"/>
              <w:marRight w:val="0"/>
              <w:marTop w:val="0"/>
              <w:marBottom w:val="0"/>
              <w:divBdr>
                <w:top w:val="none" w:sz="0" w:space="0" w:color="auto"/>
                <w:left w:val="none" w:sz="0" w:space="0" w:color="auto"/>
                <w:bottom w:val="none" w:sz="0" w:space="0" w:color="auto"/>
                <w:right w:val="none" w:sz="0" w:space="0" w:color="auto"/>
              </w:divBdr>
              <w:divsChild>
                <w:div w:id="761755098">
                  <w:marLeft w:val="0"/>
                  <w:marRight w:val="0"/>
                  <w:marTop w:val="0"/>
                  <w:marBottom w:val="0"/>
                  <w:divBdr>
                    <w:top w:val="none" w:sz="0" w:space="0" w:color="auto"/>
                    <w:left w:val="none" w:sz="0" w:space="0" w:color="auto"/>
                    <w:bottom w:val="none" w:sz="0" w:space="0" w:color="auto"/>
                    <w:right w:val="none" w:sz="0" w:space="0" w:color="auto"/>
                  </w:divBdr>
                </w:div>
                <w:div w:id="761755099">
                  <w:marLeft w:val="0"/>
                  <w:marRight w:val="0"/>
                  <w:marTop w:val="0"/>
                  <w:marBottom w:val="0"/>
                  <w:divBdr>
                    <w:top w:val="none" w:sz="0" w:space="0" w:color="auto"/>
                    <w:left w:val="none" w:sz="0" w:space="0" w:color="auto"/>
                    <w:bottom w:val="none" w:sz="0" w:space="0" w:color="auto"/>
                    <w:right w:val="none" w:sz="0" w:space="0" w:color="auto"/>
                  </w:divBdr>
                </w:div>
              </w:divsChild>
            </w:div>
            <w:div w:id="761755097">
              <w:marLeft w:val="0"/>
              <w:marRight w:val="0"/>
              <w:marTop w:val="0"/>
              <w:marBottom w:val="0"/>
              <w:divBdr>
                <w:top w:val="none" w:sz="0" w:space="0" w:color="auto"/>
                <w:left w:val="none" w:sz="0" w:space="0" w:color="auto"/>
                <w:bottom w:val="none" w:sz="0" w:space="0" w:color="auto"/>
                <w:right w:val="none" w:sz="0" w:space="0" w:color="auto"/>
              </w:divBdr>
            </w:div>
          </w:divsChild>
        </w:div>
        <w:div w:id="761755085">
          <w:marLeft w:val="0"/>
          <w:marRight w:val="0"/>
          <w:marTop w:val="0"/>
          <w:marBottom w:val="0"/>
          <w:divBdr>
            <w:top w:val="none" w:sz="0" w:space="0" w:color="auto"/>
            <w:left w:val="none" w:sz="0" w:space="0" w:color="auto"/>
            <w:bottom w:val="none" w:sz="0" w:space="0" w:color="auto"/>
            <w:right w:val="none" w:sz="0" w:space="0" w:color="auto"/>
          </w:divBdr>
        </w:div>
      </w:divsChild>
    </w:div>
    <w:div w:id="761755078">
      <w:marLeft w:val="0"/>
      <w:marRight w:val="0"/>
      <w:marTop w:val="0"/>
      <w:marBottom w:val="0"/>
      <w:divBdr>
        <w:top w:val="none" w:sz="0" w:space="0" w:color="auto"/>
        <w:left w:val="none" w:sz="0" w:space="0" w:color="auto"/>
        <w:bottom w:val="none" w:sz="0" w:space="0" w:color="auto"/>
        <w:right w:val="none" w:sz="0" w:space="0" w:color="auto"/>
      </w:divBdr>
    </w:div>
    <w:div w:id="761755084">
      <w:marLeft w:val="0"/>
      <w:marRight w:val="0"/>
      <w:marTop w:val="0"/>
      <w:marBottom w:val="0"/>
      <w:divBdr>
        <w:top w:val="none" w:sz="0" w:space="0" w:color="auto"/>
        <w:left w:val="none" w:sz="0" w:space="0" w:color="auto"/>
        <w:bottom w:val="none" w:sz="0" w:space="0" w:color="auto"/>
        <w:right w:val="none" w:sz="0" w:space="0" w:color="auto"/>
      </w:divBdr>
      <w:divsChild>
        <w:div w:id="761755079">
          <w:marLeft w:val="0"/>
          <w:marRight w:val="0"/>
          <w:marTop w:val="0"/>
          <w:marBottom w:val="0"/>
          <w:divBdr>
            <w:top w:val="none" w:sz="0" w:space="0" w:color="auto"/>
            <w:left w:val="none" w:sz="0" w:space="0" w:color="auto"/>
            <w:bottom w:val="none" w:sz="0" w:space="0" w:color="auto"/>
            <w:right w:val="none" w:sz="0" w:space="0" w:color="auto"/>
          </w:divBdr>
          <w:divsChild>
            <w:div w:id="761755089">
              <w:marLeft w:val="0"/>
              <w:marRight w:val="0"/>
              <w:marTop w:val="0"/>
              <w:marBottom w:val="0"/>
              <w:divBdr>
                <w:top w:val="none" w:sz="0" w:space="0" w:color="auto"/>
                <w:left w:val="none" w:sz="0" w:space="0" w:color="auto"/>
                <w:bottom w:val="none" w:sz="0" w:space="0" w:color="auto"/>
                <w:right w:val="none" w:sz="0" w:space="0" w:color="auto"/>
              </w:divBdr>
            </w:div>
          </w:divsChild>
        </w:div>
        <w:div w:id="761755090">
          <w:marLeft w:val="0"/>
          <w:marRight w:val="0"/>
          <w:marTop w:val="0"/>
          <w:marBottom w:val="0"/>
          <w:divBdr>
            <w:top w:val="none" w:sz="0" w:space="0" w:color="auto"/>
            <w:left w:val="none" w:sz="0" w:space="0" w:color="auto"/>
            <w:bottom w:val="none" w:sz="0" w:space="0" w:color="auto"/>
            <w:right w:val="none" w:sz="0" w:space="0" w:color="auto"/>
          </w:divBdr>
          <w:divsChild>
            <w:div w:id="761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5086">
      <w:marLeft w:val="0"/>
      <w:marRight w:val="0"/>
      <w:marTop w:val="0"/>
      <w:marBottom w:val="0"/>
      <w:divBdr>
        <w:top w:val="none" w:sz="0" w:space="0" w:color="auto"/>
        <w:left w:val="none" w:sz="0" w:space="0" w:color="auto"/>
        <w:bottom w:val="none" w:sz="0" w:space="0" w:color="auto"/>
        <w:right w:val="none" w:sz="0" w:space="0" w:color="auto"/>
      </w:divBdr>
      <w:divsChild>
        <w:div w:id="761755082">
          <w:marLeft w:val="0"/>
          <w:marRight w:val="0"/>
          <w:marTop w:val="0"/>
          <w:marBottom w:val="0"/>
          <w:divBdr>
            <w:top w:val="none" w:sz="0" w:space="0" w:color="auto"/>
            <w:left w:val="none" w:sz="0" w:space="0" w:color="auto"/>
            <w:bottom w:val="none" w:sz="0" w:space="0" w:color="auto"/>
            <w:right w:val="none" w:sz="0" w:space="0" w:color="auto"/>
          </w:divBdr>
        </w:div>
      </w:divsChild>
    </w:div>
    <w:div w:id="761755088">
      <w:marLeft w:val="0"/>
      <w:marRight w:val="0"/>
      <w:marTop w:val="0"/>
      <w:marBottom w:val="0"/>
      <w:divBdr>
        <w:top w:val="none" w:sz="0" w:space="0" w:color="auto"/>
        <w:left w:val="none" w:sz="0" w:space="0" w:color="auto"/>
        <w:bottom w:val="none" w:sz="0" w:space="0" w:color="auto"/>
        <w:right w:val="none" w:sz="0" w:space="0" w:color="auto"/>
      </w:divBdr>
      <w:divsChild>
        <w:div w:id="761755080">
          <w:marLeft w:val="0"/>
          <w:marRight w:val="0"/>
          <w:marTop w:val="0"/>
          <w:marBottom w:val="0"/>
          <w:divBdr>
            <w:top w:val="none" w:sz="0" w:space="0" w:color="auto"/>
            <w:left w:val="none" w:sz="0" w:space="0" w:color="auto"/>
            <w:bottom w:val="none" w:sz="0" w:space="0" w:color="auto"/>
            <w:right w:val="none" w:sz="0" w:space="0" w:color="auto"/>
          </w:divBdr>
          <w:divsChild>
            <w:div w:id="761755095">
              <w:marLeft w:val="0"/>
              <w:marRight w:val="0"/>
              <w:marTop w:val="0"/>
              <w:marBottom w:val="0"/>
              <w:divBdr>
                <w:top w:val="none" w:sz="0" w:space="0" w:color="auto"/>
                <w:left w:val="none" w:sz="0" w:space="0" w:color="auto"/>
                <w:bottom w:val="none" w:sz="0" w:space="0" w:color="auto"/>
                <w:right w:val="none" w:sz="0" w:space="0" w:color="auto"/>
              </w:divBdr>
              <w:divsChild>
                <w:div w:id="76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s@hmcts.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AppData\Roaming\Microsoft\Templates\JCS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JCSletterhead.dotm</Template>
  <TotalTime>1</TotalTime>
  <Pages>5</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Question</vt:lpstr>
    </vt:vector>
  </TitlesOfParts>
  <Company>LCD</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
  <dc:creator>Sian</dc:creator>
  <cp:keywords/>
  <dc:description/>
  <cp:lastModifiedBy>Lark, Alex</cp:lastModifiedBy>
  <cp:revision>2</cp:revision>
  <cp:lastPrinted>2011-10-18T13:28:00Z</cp:lastPrinted>
  <dcterms:created xsi:type="dcterms:W3CDTF">2017-08-08T13:10:00Z</dcterms:created>
  <dcterms:modified xsi:type="dcterms:W3CDTF">2017-08-08T13:10:00Z</dcterms:modified>
</cp:coreProperties>
</file>